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1A9" w:rsidRDefault="00A14A0E">
      <w:pPr>
        <w:rPr>
          <w:rFonts w:ascii="Open Sans" w:eastAsia="Open Sans" w:hAnsi="Open Sans" w:cs="Open Sans"/>
          <w:b/>
          <w:sz w:val="22"/>
          <w:szCs w:val="22"/>
        </w:rPr>
      </w:pPr>
      <w:r>
        <w:rPr>
          <w:rFonts w:ascii="Open Sans" w:eastAsia="Open Sans" w:hAnsi="Open Sans" w:cs="Open Sans"/>
          <w:b/>
          <w:sz w:val="22"/>
          <w:szCs w:val="22"/>
        </w:rPr>
        <w:t>Standard</w:t>
      </w:r>
    </w:p>
    <w:p w:rsidR="00C621A9" w:rsidRDefault="00A14A0E">
      <w:pPr>
        <w:rPr>
          <w:rFonts w:ascii="Open Sans" w:eastAsia="Open Sans" w:hAnsi="Open Sans" w:cs="Open Sans"/>
          <w:sz w:val="22"/>
          <w:szCs w:val="22"/>
        </w:rPr>
      </w:pPr>
      <w:r>
        <w:rPr>
          <w:rFonts w:ascii="Open Sans" w:eastAsia="Open Sans" w:hAnsi="Open Sans" w:cs="Open Sans"/>
          <w:sz w:val="22"/>
          <w:szCs w:val="22"/>
        </w:rPr>
        <w:t>CHEM1.PS1.14 Use Lewis dot structure and electronegativity differences to predict the polarities of simple molecules (linear, bent, trigonal planar, trigonal pyramidal, tetrahedral). Construct an argument to explain how electronegativity affects the polarity of basic chemical molecules.</w:t>
      </w:r>
    </w:p>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sz w:val="22"/>
          <w:szCs w:val="22"/>
        </w:rPr>
      </w:pPr>
      <w:r>
        <w:rPr>
          <w:rFonts w:ascii="Open Sans" w:eastAsia="Open Sans" w:hAnsi="Open Sans" w:cs="Open Sans"/>
          <w:i/>
          <w:sz w:val="22"/>
          <w:szCs w:val="22"/>
        </w:rPr>
        <w:t xml:space="preserve">Tennessee Academic Standards for Science: </w:t>
      </w:r>
      <w:r>
        <w:rPr>
          <w:rFonts w:ascii="Open Sans" w:eastAsia="Open Sans" w:hAnsi="Open Sans" w:cs="Open Sans"/>
          <w:sz w:val="22"/>
          <w:szCs w:val="22"/>
        </w:rPr>
        <w:t>Page 71</w:t>
      </w:r>
    </w:p>
    <w:p w:rsidR="00C621A9" w:rsidRDefault="00C621A9">
      <w:pPr>
        <w:rPr>
          <w:rFonts w:ascii="Open Sans" w:eastAsia="Open Sans" w:hAnsi="Open Sans" w:cs="Open Sans"/>
          <w:sz w:val="22"/>
          <w:szCs w:val="22"/>
        </w:rPr>
      </w:pPr>
    </w:p>
    <w:p w:rsidR="00C621A9" w:rsidRDefault="00C621A9">
      <w:pPr>
        <w:rPr>
          <w:rFonts w:ascii="Open Sans" w:eastAsia="Open Sans" w:hAnsi="Open Sans" w:cs="Open Sans"/>
          <w:b/>
          <w:sz w:val="22"/>
          <w:szCs w:val="22"/>
        </w:rPr>
      </w:pPr>
    </w:p>
    <w:p w:rsidR="00C621A9" w:rsidRDefault="00A14A0E">
      <w:pPr>
        <w:rPr>
          <w:rFonts w:ascii="Open Sans" w:eastAsia="Open Sans" w:hAnsi="Open Sans" w:cs="Open Sans"/>
          <w:b/>
          <w:sz w:val="22"/>
          <w:szCs w:val="22"/>
        </w:rPr>
      </w:pPr>
      <w:r>
        <w:rPr>
          <w:rFonts w:ascii="Open Sans" w:eastAsia="Open Sans" w:hAnsi="Open Sans" w:cs="Open Sans"/>
          <w:b/>
          <w:sz w:val="22"/>
          <w:szCs w:val="22"/>
        </w:rPr>
        <w:t xml:space="preserve">Three-dimensional Learning Performance for Lesson </w:t>
      </w:r>
    </w:p>
    <w:p w:rsidR="00C621A9" w:rsidRDefault="00A14A0E">
      <w:pPr>
        <w:rPr>
          <w:rFonts w:ascii="Open Sans" w:eastAsia="Open Sans" w:hAnsi="Open Sans" w:cs="Open Sans"/>
          <w:sz w:val="22"/>
          <w:szCs w:val="22"/>
        </w:rPr>
      </w:pPr>
      <w:r>
        <w:rPr>
          <w:rFonts w:ascii="Open Sans" w:eastAsia="Open Sans" w:hAnsi="Open Sans" w:cs="Open Sans"/>
          <w:i/>
          <w:sz w:val="22"/>
          <w:szCs w:val="22"/>
        </w:rPr>
        <w:t>Students will</w:t>
      </w:r>
      <w:r>
        <w:rPr>
          <w:rFonts w:ascii="Open Sans" w:eastAsia="Open Sans" w:hAnsi="Open Sans" w:cs="Open Sans"/>
          <w:sz w:val="22"/>
          <w:szCs w:val="22"/>
        </w:rPr>
        <w:t xml:space="preserve"> develop and use models</w:t>
      </w:r>
      <w:r>
        <w:rPr>
          <w:rFonts w:ascii="Open Sans" w:eastAsia="Open Sans" w:hAnsi="Open Sans" w:cs="Open Sans"/>
          <w:sz w:val="22"/>
          <w:szCs w:val="22"/>
          <w:vertAlign w:val="superscript"/>
        </w:rPr>
        <w:t>*</w:t>
      </w:r>
      <w:r>
        <w:rPr>
          <w:rFonts w:ascii="Open Sans" w:eastAsia="Open Sans" w:hAnsi="Open Sans" w:cs="Open Sans"/>
          <w:i/>
          <w:sz w:val="22"/>
          <w:szCs w:val="22"/>
        </w:rPr>
        <w:t xml:space="preserve"> in order to </w:t>
      </w:r>
      <w:r>
        <w:rPr>
          <w:rFonts w:ascii="Open Sans" w:eastAsia="Open Sans" w:hAnsi="Open Sans" w:cs="Open Sans"/>
          <w:sz w:val="22"/>
          <w:szCs w:val="22"/>
        </w:rPr>
        <w:t xml:space="preserve">predict the polarity of simple molecules (linear, bent, trigonal planar, trigonal pyramidal, </w:t>
      </w:r>
      <w:proofErr w:type="gramStart"/>
      <w:r>
        <w:rPr>
          <w:rFonts w:ascii="Open Sans" w:eastAsia="Open Sans" w:hAnsi="Open Sans" w:cs="Open Sans"/>
          <w:sz w:val="22"/>
          <w:szCs w:val="22"/>
        </w:rPr>
        <w:t>tetrahedral)</w:t>
      </w:r>
      <w:r>
        <w:rPr>
          <w:rFonts w:ascii="Open Sans" w:eastAsia="Open Sans" w:hAnsi="Open Sans" w:cs="Open Sans"/>
          <w:sz w:val="22"/>
          <w:szCs w:val="22"/>
          <w:vertAlign w:val="superscript"/>
        </w:rPr>
        <w:t>*</w:t>
      </w:r>
      <w:proofErr w:type="gramEnd"/>
      <w:r>
        <w:rPr>
          <w:rFonts w:ascii="Open Sans" w:eastAsia="Open Sans" w:hAnsi="Open Sans" w:cs="Open Sans"/>
          <w:sz w:val="22"/>
          <w:szCs w:val="22"/>
          <w:vertAlign w:val="superscript"/>
        </w:rPr>
        <w:t>*</w:t>
      </w:r>
      <w:r>
        <w:rPr>
          <w:rFonts w:ascii="Open Sans" w:eastAsia="Open Sans" w:hAnsi="Open Sans" w:cs="Open Sans"/>
          <w:i/>
          <w:sz w:val="22"/>
          <w:szCs w:val="22"/>
        </w:rPr>
        <w:t xml:space="preserve"> highlighting the</w:t>
      </w:r>
      <w:r>
        <w:rPr>
          <w:rFonts w:ascii="Open Sans" w:eastAsia="Open Sans" w:hAnsi="Open Sans" w:cs="Open Sans"/>
          <w:sz w:val="22"/>
          <w:szCs w:val="22"/>
        </w:rPr>
        <w:t xml:space="preserve"> relationship between molecular structure and the polarity of compounds.</w:t>
      </w:r>
      <w:r>
        <w:rPr>
          <w:rFonts w:ascii="Open Sans" w:eastAsia="Open Sans" w:hAnsi="Open Sans" w:cs="Open Sans"/>
          <w:sz w:val="22"/>
          <w:szCs w:val="22"/>
          <w:vertAlign w:val="superscript"/>
        </w:rPr>
        <w:t>***</w:t>
      </w:r>
    </w:p>
    <w:p w:rsidR="00C621A9" w:rsidRDefault="00C621A9">
      <w:pPr>
        <w:rPr>
          <w:rFonts w:ascii="Open Sans" w:eastAsia="Open Sans" w:hAnsi="Open Sans" w:cs="Open Sans"/>
          <w:b/>
          <w:sz w:val="22"/>
          <w:szCs w:val="22"/>
        </w:rPr>
      </w:pPr>
    </w:p>
    <w:p w:rsidR="00C621A9" w:rsidRDefault="00A14A0E">
      <w:pPr>
        <w:rPr>
          <w:rFonts w:ascii="Open Sans" w:eastAsia="Open Sans" w:hAnsi="Open Sans" w:cs="Open Sans"/>
          <w:b/>
          <w:sz w:val="22"/>
          <w:szCs w:val="22"/>
        </w:rPr>
      </w:pPr>
      <w:r>
        <w:rPr>
          <w:rFonts w:ascii="Open Sans" w:eastAsia="Open Sans" w:hAnsi="Open Sans" w:cs="Open Sans"/>
          <w:b/>
          <w:sz w:val="22"/>
          <w:szCs w:val="22"/>
        </w:rPr>
        <w:t>Science and Engineering Practice for Lesson</w:t>
      </w:r>
    </w:p>
    <w:p w:rsidR="00C621A9" w:rsidRDefault="00A14A0E">
      <w:pPr>
        <w:rPr>
          <w:rFonts w:ascii="Open Sans" w:eastAsia="Open Sans" w:hAnsi="Open Sans" w:cs="Open Sans"/>
          <w:i/>
          <w:sz w:val="22"/>
          <w:szCs w:val="22"/>
          <w:vertAlign w:val="superscript"/>
        </w:rPr>
      </w:pPr>
      <w:r>
        <w:rPr>
          <w:rFonts w:ascii="Open Sans" w:eastAsia="Open Sans" w:hAnsi="Open Sans" w:cs="Open Sans"/>
          <w:i/>
          <w:sz w:val="22"/>
          <w:szCs w:val="22"/>
        </w:rPr>
        <w:t>Developing and Using Models</w:t>
      </w:r>
      <w:r>
        <w:rPr>
          <w:rFonts w:ascii="Open Sans" w:eastAsia="Open Sans" w:hAnsi="Open Sans" w:cs="Open Sans"/>
          <w:i/>
          <w:sz w:val="22"/>
          <w:szCs w:val="22"/>
          <w:vertAlign w:val="superscript"/>
        </w:rPr>
        <w:t>*</w:t>
      </w:r>
    </w:p>
    <w:p w:rsidR="00C621A9" w:rsidRDefault="00A14A0E">
      <w:pPr>
        <w:rPr>
          <w:rFonts w:ascii="Open Sans" w:eastAsia="Open Sans" w:hAnsi="Open Sans" w:cs="Open Sans"/>
          <w:sz w:val="22"/>
          <w:szCs w:val="22"/>
        </w:rPr>
      </w:pPr>
      <w:r>
        <w:rPr>
          <w:rFonts w:ascii="Open Sans" w:eastAsia="Open Sans" w:hAnsi="Open Sans" w:cs="Open Sans"/>
          <w:sz w:val="22"/>
          <w:szCs w:val="22"/>
        </w:rPr>
        <w:t xml:space="preserve">The goal of this three-dimensional learning performance is for students to develop strategies for using three-dimensional structures of molecules in order to predict the polarity of compounds.  In this lesson, an emphasis should be placed on the relationship between the symbolic representations (chemical formulas and Lewis structures) and the microscopic particle representation (the 3D molecular structure).  </w:t>
      </w:r>
    </w:p>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sz w:val="22"/>
          <w:szCs w:val="22"/>
        </w:rPr>
      </w:pPr>
      <w:r>
        <w:rPr>
          <w:rFonts w:ascii="Open Sans" w:eastAsia="Open Sans" w:hAnsi="Open Sans" w:cs="Open Sans"/>
          <w:sz w:val="22"/>
          <w:szCs w:val="22"/>
        </w:rPr>
        <w:t>The ability to predict polarity serves as an important part of a larger model for students to understand how the composition of a compound influences a substance’s physical properties, as shown below.</w:t>
      </w:r>
    </w:p>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sz w:val="22"/>
          <w:szCs w:val="22"/>
        </w:rPr>
      </w:pPr>
      <w:r>
        <w:rPr>
          <w:rFonts w:ascii="Arial Unicode MS" w:eastAsia="Arial Unicode MS" w:hAnsi="Arial Unicode MS" w:cs="Arial Unicode MS"/>
          <w:sz w:val="22"/>
          <w:szCs w:val="22"/>
        </w:rPr>
        <w:t>Chemical formula → Lewis structure → VSEPR Shape→ Polarity → Physical Properties</w:t>
      </w:r>
    </w:p>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sz w:val="22"/>
          <w:szCs w:val="22"/>
        </w:rPr>
      </w:pPr>
      <w:r>
        <w:rPr>
          <w:rFonts w:ascii="Open Sans" w:eastAsia="Open Sans" w:hAnsi="Open Sans" w:cs="Open Sans"/>
          <w:sz w:val="22"/>
          <w:szCs w:val="22"/>
        </w:rPr>
        <w:t>Most of this lesson focuses on the third step of this model, connecting VSEPR shape to polarity; however, near the end of the lesson, the questioning triggers students to expand the model to connect a chemical formula to the prediction of polarity.</w:t>
      </w:r>
    </w:p>
    <w:p w:rsidR="00C621A9" w:rsidRDefault="00C621A9">
      <w:pPr>
        <w:rPr>
          <w:rFonts w:ascii="Open Sans" w:eastAsia="Open Sans" w:hAnsi="Open Sans" w:cs="Open Sans"/>
          <w:b/>
          <w:sz w:val="22"/>
          <w:szCs w:val="22"/>
        </w:rPr>
      </w:pPr>
    </w:p>
    <w:p w:rsidR="00C621A9" w:rsidRDefault="00A14A0E">
      <w:pPr>
        <w:rPr>
          <w:rFonts w:ascii="Open Sans" w:eastAsia="Open Sans" w:hAnsi="Open Sans" w:cs="Open Sans"/>
          <w:b/>
          <w:sz w:val="22"/>
          <w:szCs w:val="22"/>
        </w:rPr>
      </w:pPr>
      <w:r>
        <w:rPr>
          <w:rFonts w:ascii="Open Sans" w:eastAsia="Open Sans" w:hAnsi="Open Sans" w:cs="Open Sans"/>
          <w:b/>
          <w:sz w:val="22"/>
          <w:szCs w:val="22"/>
        </w:rPr>
        <w:t xml:space="preserve">Disciplinary Core Idea for Lesson </w:t>
      </w:r>
    </w:p>
    <w:p w:rsidR="00C621A9" w:rsidRDefault="00A14A0E">
      <w:pPr>
        <w:rPr>
          <w:rFonts w:ascii="Open Sans" w:eastAsia="Open Sans" w:hAnsi="Open Sans" w:cs="Open Sans"/>
          <w:i/>
          <w:sz w:val="22"/>
          <w:szCs w:val="22"/>
        </w:rPr>
      </w:pPr>
      <w:r>
        <w:rPr>
          <w:rFonts w:ascii="Open Sans" w:eastAsia="Open Sans" w:hAnsi="Open Sans" w:cs="Open Sans"/>
          <w:i/>
          <w:sz w:val="22"/>
          <w:szCs w:val="22"/>
        </w:rPr>
        <w:t>Physical Science 1.A Structure and Properties of Matter</w:t>
      </w:r>
      <w:r>
        <w:rPr>
          <w:rFonts w:ascii="Open Sans" w:eastAsia="Open Sans" w:hAnsi="Open Sans" w:cs="Open Sans"/>
          <w:i/>
          <w:sz w:val="22"/>
          <w:szCs w:val="22"/>
          <w:vertAlign w:val="superscript"/>
        </w:rPr>
        <w:t>**</w:t>
      </w:r>
    </w:p>
    <w:p w:rsidR="00C621A9" w:rsidRDefault="00A14A0E">
      <w:pPr>
        <w:rPr>
          <w:rFonts w:ascii="Open Sans" w:eastAsia="Open Sans" w:hAnsi="Open Sans" w:cs="Open Sans"/>
          <w:sz w:val="22"/>
          <w:szCs w:val="22"/>
        </w:rPr>
      </w:pPr>
      <w:r>
        <w:rPr>
          <w:rFonts w:ascii="Open Sans" w:eastAsia="Open Sans" w:hAnsi="Open Sans" w:cs="Open Sans"/>
          <w:sz w:val="22"/>
          <w:szCs w:val="22"/>
        </w:rPr>
        <w:t>“The structure and interactions of matter at the bulk scale are determined by electrical forces within and between atoms.”</w:t>
      </w:r>
    </w:p>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sz w:val="22"/>
          <w:szCs w:val="22"/>
        </w:rPr>
      </w:pPr>
      <w:r>
        <w:rPr>
          <w:rFonts w:ascii="Open Sans" w:eastAsia="Open Sans" w:hAnsi="Open Sans" w:cs="Open Sans"/>
          <w:i/>
          <w:sz w:val="22"/>
          <w:szCs w:val="22"/>
        </w:rPr>
        <w:t>A Framework for K–12 Science Education:</w:t>
      </w:r>
      <w:r>
        <w:rPr>
          <w:rFonts w:ascii="Open Sans" w:eastAsia="Open Sans" w:hAnsi="Open Sans" w:cs="Open Sans"/>
          <w:sz w:val="22"/>
          <w:szCs w:val="22"/>
        </w:rPr>
        <w:t xml:space="preserve"> Page 109</w:t>
      </w:r>
    </w:p>
    <w:p w:rsidR="00C621A9" w:rsidRDefault="00C621A9">
      <w:pPr>
        <w:rPr>
          <w:rFonts w:ascii="Open Sans" w:eastAsia="Open Sans" w:hAnsi="Open Sans" w:cs="Open Sans"/>
          <w:b/>
          <w:sz w:val="22"/>
          <w:szCs w:val="22"/>
        </w:rPr>
      </w:pPr>
    </w:p>
    <w:p w:rsidR="00C621A9" w:rsidRDefault="00C621A9">
      <w:pPr>
        <w:rPr>
          <w:rFonts w:ascii="Open Sans" w:eastAsia="Open Sans" w:hAnsi="Open Sans" w:cs="Open Sans"/>
          <w:b/>
          <w:sz w:val="22"/>
          <w:szCs w:val="22"/>
        </w:rPr>
      </w:pPr>
    </w:p>
    <w:p w:rsidR="00C621A9" w:rsidRDefault="00A14A0E">
      <w:pPr>
        <w:rPr>
          <w:rFonts w:ascii="Open Sans" w:eastAsia="Open Sans" w:hAnsi="Open Sans" w:cs="Open Sans"/>
          <w:b/>
          <w:sz w:val="22"/>
          <w:szCs w:val="22"/>
        </w:rPr>
      </w:pPr>
      <w:r>
        <w:rPr>
          <w:rFonts w:ascii="Open Sans" w:eastAsia="Open Sans" w:hAnsi="Open Sans" w:cs="Open Sans"/>
          <w:b/>
          <w:sz w:val="22"/>
          <w:szCs w:val="22"/>
        </w:rPr>
        <w:t xml:space="preserve">Crosscutting Concept for Lesson </w:t>
      </w:r>
    </w:p>
    <w:p w:rsidR="00C621A9" w:rsidRDefault="00A14A0E">
      <w:pPr>
        <w:rPr>
          <w:rFonts w:ascii="Open Sans" w:eastAsia="Open Sans" w:hAnsi="Open Sans" w:cs="Open Sans"/>
          <w:i/>
          <w:sz w:val="22"/>
          <w:szCs w:val="22"/>
        </w:rPr>
      </w:pPr>
      <w:r>
        <w:rPr>
          <w:rFonts w:ascii="Open Sans" w:eastAsia="Open Sans" w:hAnsi="Open Sans" w:cs="Open Sans"/>
          <w:i/>
          <w:sz w:val="22"/>
          <w:szCs w:val="22"/>
        </w:rPr>
        <w:t>Structure and Function</w:t>
      </w:r>
      <w:r>
        <w:rPr>
          <w:rFonts w:ascii="Open Sans" w:eastAsia="Open Sans" w:hAnsi="Open Sans" w:cs="Open Sans"/>
          <w:i/>
          <w:sz w:val="22"/>
          <w:szCs w:val="22"/>
          <w:vertAlign w:val="superscript"/>
        </w:rPr>
        <w:t>***</w:t>
      </w:r>
    </w:p>
    <w:p w:rsidR="00C621A9" w:rsidRDefault="00A14A0E">
      <w:pPr>
        <w:rPr>
          <w:rFonts w:ascii="Open Sans" w:eastAsia="Open Sans" w:hAnsi="Open Sans" w:cs="Open Sans"/>
          <w:sz w:val="22"/>
          <w:szCs w:val="22"/>
        </w:rPr>
      </w:pPr>
      <w:r>
        <w:rPr>
          <w:rFonts w:ascii="Open Sans" w:eastAsia="Open Sans" w:hAnsi="Open Sans" w:cs="Open Sans"/>
          <w:sz w:val="22"/>
          <w:szCs w:val="22"/>
        </w:rPr>
        <w:t xml:space="preserve">This lesson focuses on the student’s development of strategies to use molecular models to predict the polarity of a molecule.  This system of strategies serves as a very powerful tool in the student’s ability to </w:t>
      </w:r>
      <w:r>
        <w:rPr>
          <w:rFonts w:ascii="Open Sans" w:eastAsia="Open Sans" w:hAnsi="Open Sans" w:cs="Open Sans"/>
          <w:sz w:val="22"/>
          <w:szCs w:val="22"/>
        </w:rPr>
        <w:lastRenderedPageBreak/>
        <w:t>connect the symbolic model of a compound (it’s Lewis structure and VSEPR shape) to the observed macroscopic properties.</w:t>
      </w:r>
    </w:p>
    <w:p w:rsidR="00C621A9" w:rsidRDefault="00A14A0E">
      <w:pPr>
        <w:rPr>
          <w:rFonts w:ascii="Open Sans" w:eastAsia="Open Sans" w:hAnsi="Open Sans" w:cs="Open Sans"/>
          <w:sz w:val="22"/>
          <w:szCs w:val="22"/>
        </w:rPr>
      </w:pPr>
      <w:r>
        <w:rPr>
          <w:rFonts w:ascii="Open Sans" w:eastAsia="Open Sans" w:hAnsi="Open Sans" w:cs="Open Sans"/>
          <w:sz w:val="22"/>
          <w:szCs w:val="22"/>
        </w:rPr>
        <w:t xml:space="preserve"> </w:t>
      </w:r>
    </w:p>
    <w:p w:rsidR="00C621A9" w:rsidRDefault="00C621A9">
      <w:pPr>
        <w:rPr>
          <w:rFonts w:ascii="Open Sans" w:eastAsia="Open Sans" w:hAnsi="Open Sans" w:cs="Open Sans"/>
          <w:b/>
          <w:sz w:val="22"/>
          <w:szCs w:val="22"/>
        </w:rPr>
      </w:pPr>
    </w:p>
    <w:p w:rsidR="00C621A9" w:rsidRDefault="00A14A0E">
      <w:pPr>
        <w:rPr>
          <w:rFonts w:ascii="Open Sans" w:eastAsia="Open Sans" w:hAnsi="Open Sans" w:cs="Open Sans"/>
          <w:sz w:val="22"/>
          <w:szCs w:val="22"/>
        </w:rPr>
      </w:pPr>
      <w:r>
        <w:rPr>
          <w:rFonts w:ascii="Open Sans" w:eastAsia="Open Sans" w:hAnsi="Open Sans" w:cs="Open Sans"/>
          <w:b/>
          <w:sz w:val="22"/>
          <w:szCs w:val="22"/>
        </w:rPr>
        <w:t>Prior Knowledge</w:t>
      </w:r>
    </w:p>
    <w:p w:rsidR="00C621A9" w:rsidRDefault="00A14A0E">
      <w:pPr>
        <w:rPr>
          <w:rFonts w:ascii="Open Sans" w:eastAsia="Open Sans" w:hAnsi="Open Sans" w:cs="Open Sans"/>
          <w:sz w:val="22"/>
          <w:szCs w:val="22"/>
        </w:rPr>
      </w:pPr>
      <w:r>
        <w:rPr>
          <w:rFonts w:ascii="Open Sans" w:eastAsia="Open Sans" w:hAnsi="Open Sans" w:cs="Open Sans"/>
          <w:b/>
          <w:noProof/>
          <w:sz w:val="22"/>
          <w:szCs w:val="22"/>
          <w:lang w:val="en-US"/>
        </w:rPr>
        <mc:AlternateContent>
          <mc:Choice Requires="wpg">
            <w:drawing>
              <wp:inline distT="114300" distB="114300" distL="114300" distR="114300">
                <wp:extent cx="3857625" cy="800100"/>
                <wp:effectExtent l="0" t="0" r="0" b="0"/>
                <wp:docPr id="1" name=""/>
                <wp:cNvGraphicFramePr/>
                <a:graphic xmlns:a="http://schemas.openxmlformats.org/drawingml/2006/main">
                  <a:graphicData uri="http://schemas.microsoft.com/office/word/2010/wordprocessingGroup">
                    <wpg:wgp>
                      <wpg:cNvGrpSpPr/>
                      <wpg:grpSpPr>
                        <a:xfrm>
                          <a:off x="0" y="0"/>
                          <a:ext cx="3857625" cy="800100"/>
                          <a:chOff x="1021725" y="847725"/>
                          <a:chExt cx="3843150" cy="781050"/>
                        </a:xfrm>
                      </wpg:grpSpPr>
                      <wps:wsp>
                        <wps:cNvPr id="2" name="Oval 2"/>
                        <wps:cNvSpPr/>
                        <wps:spPr>
                          <a:xfrm>
                            <a:off x="1457475" y="1419075"/>
                            <a:ext cx="209400" cy="209700"/>
                          </a:xfrm>
                          <a:prstGeom prst="ellipse">
                            <a:avLst/>
                          </a:prstGeom>
                          <a:noFill/>
                          <a:ln w="9525" cap="flat" cmpd="sng">
                            <a:solidFill>
                              <a:srgbClr val="000000"/>
                            </a:solidFill>
                            <a:prstDash val="solid"/>
                            <a:round/>
                            <a:headEnd type="none" w="sm" len="sm"/>
                            <a:tailEnd type="none" w="sm" len="sm"/>
                          </a:ln>
                        </wps:spPr>
                        <wps:txbx>
                          <w:txbxContent>
                            <w:p w:rsidR="00C621A9" w:rsidRDefault="00C621A9">
                              <w:pPr>
                                <w:spacing w:line="240" w:lineRule="auto"/>
                                <w:textDirection w:val="btLr"/>
                              </w:pPr>
                            </w:p>
                          </w:txbxContent>
                        </wps:txbx>
                        <wps:bodyPr spcFirstLastPara="1" wrap="square" lIns="91425" tIns="91425" rIns="91425" bIns="91425" anchor="ctr" anchorCtr="0"/>
                      </wps:wsp>
                      <wps:wsp>
                        <wps:cNvPr id="3" name="Oval 3"/>
                        <wps:cNvSpPr/>
                        <wps:spPr>
                          <a:xfrm>
                            <a:off x="2838600" y="1419225"/>
                            <a:ext cx="209400" cy="209400"/>
                          </a:xfrm>
                          <a:prstGeom prst="ellipse">
                            <a:avLst/>
                          </a:prstGeom>
                          <a:solidFill>
                            <a:srgbClr val="999999"/>
                          </a:solidFill>
                          <a:ln w="9525" cap="flat" cmpd="sng">
                            <a:solidFill>
                              <a:srgbClr val="000000"/>
                            </a:solidFill>
                            <a:prstDash val="solid"/>
                            <a:round/>
                            <a:headEnd type="none" w="sm" len="sm"/>
                            <a:tailEnd type="none" w="sm" len="sm"/>
                          </a:ln>
                        </wps:spPr>
                        <wps:txbx>
                          <w:txbxContent>
                            <w:p w:rsidR="00C621A9" w:rsidRDefault="00C621A9">
                              <w:pPr>
                                <w:spacing w:line="240" w:lineRule="auto"/>
                                <w:textDirection w:val="btLr"/>
                              </w:pPr>
                            </w:p>
                          </w:txbxContent>
                        </wps:txbx>
                        <wps:bodyPr spcFirstLastPara="1" wrap="square" lIns="91425" tIns="91425" rIns="91425" bIns="91425" anchor="ctr" anchorCtr="0"/>
                      </wps:wsp>
                      <wps:wsp>
                        <wps:cNvPr id="4" name="Oval 4"/>
                        <wps:cNvSpPr/>
                        <wps:spPr>
                          <a:xfrm>
                            <a:off x="4219725" y="1419225"/>
                            <a:ext cx="209400" cy="209400"/>
                          </a:xfrm>
                          <a:prstGeom prst="ellipse">
                            <a:avLst/>
                          </a:prstGeom>
                          <a:noFill/>
                          <a:ln w="9525" cap="flat" cmpd="sng">
                            <a:solidFill>
                              <a:srgbClr val="000000"/>
                            </a:solidFill>
                            <a:prstDash val="solid"/>
                            <a:round/>
                            <a:headEnd type="none" w="sm" len="sm"/>
                            <a:tailEnd type="none" w="sm" len="sm"/>
                          </a:ln>
                        </wps:spPr>
                        <wps:txbx>
                          <w:txbxContent>
                            <w:p w:rsidR="00C621A9" w:rsidRDefault="00C621A9">
                              <w:pPr>
                                <w:spacing w:line="240" w:lineRule="auto"/>
                                <w:textDirection w:val="btLr"/>
                              </w:pPr>
                            </w:p>
                          </w:txbxContent>
                        </wps:txbx>
                        <wps:bodyPr spcFirstLastPara="1" wrap="square" lIns="91425" tIns="91425" rIns="91425" bIns="91425" anchor="ctr" anchorCtr="0"/>
                      </wps:wsp>
                      <wps:wsp>
                        <wps:cNvPr id="5" name="Straight Arrow Connector 5"/>
                        <wps:cNvCnPr/>
                        <wps:spPr>
                          <a:xfrm>
                            <a:off x="1666875" y="1523925"/>
                            <a:ext cx="1171800" cy="0"/>
                          </a:xfrm>
                          <a:prstGeom prst="straightConnector1">
                            <a:avLst/>
                          </a:prstGeom>
                          <a:noFill/>
                          <a:ln w="9525" cap="flat" cmpd="sng">
                            <a:solidFill>
                              <a:srgbClr val="000000"/>
                            </a:solidFill>
                            <a:prstDash val="solid"/>
                            <a:round/>
                            <a:headEnd type="none" w="med" len="med"/>
                            <a:tailEnd type="stealth" w="med" len="med"/>
                          </a:ln>
                        </wps:spPr>
                        <wps:bodyPr/>
                      </wps:wsp>
                      <wps:wsp>
                        <wps:cNvPr id="6" name="Straight Arrow Connector 6"/>
                        <wps:cNvCnPr/>
                        <wps:spPr>
                          <a:xfrm>
                            <a:off x="3048000" y="1523925"/>
                            <a:ext cx="1171800" cy="0"/>
                          </a:xfrm>
                          <a:prstGeom prst="straightConnector1">
                            <a:avLst/>
                          </a:prstGeom>
                          <a:noFill/>
                          <a:ln w="9525" cap="flat" cmpd="sng">
                            <a:solidFill>
                              <a:srgbClr val="000000"/>
                            </a:solidFill>
                            <a:prstDash val="solid"/>
                            <a:round/>
                            <a:headEnd type="none" w="med" len="med"/>
                            <a:tailEnd type="stealth" w="med" len="med"/>
                          </a:ln>
                        </wps:spPr>
                        <wps:bodyPr/>
                      </wps:wsp>
                      <wps:wsp>
                        <wps:cNvPr id="7" name="Text Box 7"/>
                        <wps:cNvSpPr txBox="1"/>
                        <wps:spPr>
                          <a:xfrm>
                            <a:off x="1021725" y="1114425"/>
                            <a:ext cx="1080900" cy="304800"/>
                          </a:xfrm>
                          <a:prstGeom prst="rect">
                            <a:avLst/>
                          </a:prstGeom>
                          <a:noFill/>
                          <a:ln>
                            <a:noFill/>
                          </a:ln>
                        </wps:spPr>
                        <wps:txbx>
                          <w:txbxContent>
                            <w:p w:rsidR="00C621A9" w:rsidRDefault="00A14A0E">
                              <w:pPr>
                                <w:spacing w:line="240" w:lineRule="auto"/>
                                <w:jc w:val="center"/>
                                <w:textDirection w:val="btLr"/>
                              </w:pPr>
                              <w:r>
                                <w:rPr>
                                  <w:rFonts w:ascii="Open Sans" w:eastAsia="Open Sans" w:hAnsi="Open Sans" w:cs="Open Sans"/>
                                  <w:color w:val="000000"/>
                                </w:rPr>
                                <w:t>Beginning</w:t>
                              </w:r>
                            </w:p>
                          </w:txbxContent>
                        </wps:txbx>
                        <wps:bodyPr spcFirstLastPara="1" wrap="square" lIns="91425" tIns="91425" rIns="91425" bIns="91425" anchor="t" anchorCtr="0"/>
                      </wps:wsp>
                      <wps:wsp>
                        <wps:cNvPr id="8" name="Text Box 8"/>
                        <wps:cNvSpPr txBox="1"/>
                        <wps:spPr>
                          <a:xfrm>
                            <a:off x="2402850" y="1114425"/>
                            <a:ext cx="1080900" cy="304800"/>
                          </a:xfrm>
                          <a:prstGeom prst="rect">
                            <a:avLst/>
                          </a:prstGeom>
                          <a:noFill/>
                          <a:ln>
                            <a:noFill/>
                          </a:ln>
                        </wps:spPr>
                        <wps:txbx>
                          <w:txbxContent>
                            <w:p w:rsidR="00C621A9" w:rsidRDefault="00A14A0E">
                              <w:pPr>
                                <w:spacing w:line="240" w:lineRule="auto"/>
                                <w:jc w:val="center"/>
                                <w:textDirection w:val="btLr"/>
                              </w:pPr>
                              <w:r>
                                <w:rPr>
                                  <w:rFonts w:ascii="Open Sans" w:eastAsia="Open Sans" w:hAnsi="Open Sans" w:cs="Open Sans"/>
                                  <w:color w:val="000000"/>
                                </w:rPr>
                                <w:t>Middle</w:t>
                              </w:r>
                            </w:p>
                          </w:txbxContent>
                        </wps:txbx>
                        <wps:bodyPr spcFirstLastPara="1" wrap="square" lIns="91425" tIns="91425" rIns="91425" bIns="91425" anchor="t" anchorCtr="0"/>
                      </wps:wsp>
                      <wps:wsp>
                        <wps:cNvPr id="9" name="Text Box 9"/>
                        <wps:cNvSpPr txBox="1"/>
                        <wps:spPr>
                          <a:xfrm>
                            <a:off x="3783975" y="1114425"/>
                            <a:ext cx="1080900" cy="304800"/>
                          </a:xfrm>
                          <a:prstGeom prst="rect">
                            <a:avLst/>
                          </a:prstGeom>
                          <a:noFill/>
                          <a:ln>
                            <a:noFill/>
                          </a:ln>
                        </wps:spPr>
                        <wps:txbx>
                          <w:txbxContent>
                            <w:p w:rsidR="00C621A9" w:rsidRDefault="00A14A0E">
                              <w:pPr>
                                <w:spacing w:line="240" w:lineRule="auto"/>
                                <w:jc w:val="center"/>
                                <w:textDirection w:val="btLr"/>
                              </w:pPr>
                              <w:r>
                                <w:rPr>
                                  <w:rFonts w:ascii="Open Sans" w:eastAsia="Open Sans" w:hAnsi="Open Sans" w:cs="Open Sans"/>
                                  <w:color w:val="000000"/>
                                </w:rPr>
                                <w:t>End</w:t>
                              </w:r>
                            </w:p>
                          </w:txbxContent>
                        </wps:txbx>
                        <wps:bodyPr spcFirstLastPara="1" wrap="square" lIns="91425" tIns="91425" rIns="91425" bIns="91425" anchor="t" anchorCtr="0"/>
                      </wps:wsp>
                      <wps:wsp>
                        <wps:cNvPr id="10" name="Text Box 10"/>
                        <wps:cNvSpPr txBox="1"/>
                        <wps:spPr>
                          <a:xfrm>
                            <a:off x="1362150" y="847725"/>
                            <a:ext cx="3162300" cy="419100"/>
                          </a:xfrm>
                          <a:prstGeom prst="rect">
                            <a:avLst/>
                          </a:prstGeom>
                          <a:noFill/>
                          <a:ln>
                            <a:noFill/>
                          </a:ln>
                        </wps:spPr>
                        <wps:txbx>
                          <w:txbxContent>
                            <w:p w:rsidR="00C621A9" w:rsidRDefault="00A14A0E">
                              <w:pPr>
                                <w:spacing w:line="240" w:lineRule="auto"/>
                                <w:jc w:val="center"/>
                                <w:textDirection w:val="btLr"/>
                              </w:pPr>
                              <w:r>
                                <w:rPr>
                                  <w:rFonts w:ascii="Open Sans" w:eastAsia="Open Sans" w:hAnsi="Open Sans" w:cs="Open Sans"/>
                                  <w:b/>
                                  <w:color w:val="000000"/>
                                  <w:sz w:val="24"/>
                                </w:rPr>
                                <w:t>Location Within Instructional Unit</w:t>
                              </w:r>
                            </w:p>
                          </w:txbxContent>
                        </wps:txbx>
                        <wps:bodyPr spcFirstLastPara="1" wrap="square" lIns="91425" tIns="91425" rIns="91425" bIns="91425" anchor="t" anchorCtr="0"/>
                      </wps:wsp>
                    </wpg:wgp>
                  </a:graphicData>
                </a:graphic>
              </wp:inline>
            </w:drawing>
          </mc:Choice>
          <mc:Fallback>
            <w:pict>
              <v:group id="_x0000_s1026" style="width:303.75pt;height:63pt;mso-position-horizontal-relative:char;mso-position-vertical-relative:line" coordorigin="10217,8477" coordsize="38431,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">
                <v:oval id="Oval 2" o:spid="_x0000_s1027" style="position:absolute;left:14574;top:14190;width:2094;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" filled="f">
                  <v:stroke startarrowwidth="narrow" startarrowlength="short" endarrowwidth="narrow" endarrowlength="short"/>
                  <v:textbox inset="2.53958mm,2.53958mm,2.53958mm,2.53958mm">
                    <w:txbxContent>
                      <w:p w:rsidR="00C621A9" w:rsidRDefault="00C621A9">
                        <w:pPr>
                          <w:spacing w:line="240" w:lineRule="auto"/>
                          <w:textDirection w:val="btLr"/>
                        </w:pPr>
                      </w:p>
                    </w:txbxContent>
                  </v:textbox>
                </v:oval>
                <v:oval id="Oval 3" o:spid="_x0000_s1028" style="position:absolute;left:28386;top:14192;width:2094;height:2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" fillcolor="#999">
                  <v:stroke startarrowwidth="narrow" startarrowlength="short" endarrowwidth="narrow" endarrowlength="short"/>
                  <v:textbox inset="2.53958mm,2.53958mm,2.53958mm,2.53958mm">
                    <w:txbxContent>
                      <w:p w:rsidR="00C621A9" w:rsidRDefault="00C621A9">
                        <w:pPr>
                          <w:spacing w:line="240" w:lineRule="auto"/>
                          <w:textDirection w:val="btLr"/>
                        </w:pPr>
                      </w:p>
                    </w:txbxContent>
                  </v:textbox>
                </v:oval>
                <v:oval id="Oval 4" o:spid="_x0000_s1029" style="position:absolute;left:42197;top:14192;width:2094;height:2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" filled="f">
                  <v:stroke startarrowwidth="narrow" startarrowlength="short" endarrowwidth="narrow" endarrowlength="short"/>
                  <v:textbox inset="2.53958mm,2.53958mm,2.53958mm,2.53958mm">
                    <w:txbxContent>
                      <w:p w:rsidR="00C621A9" w:rsidRDefault="00C621A9">
                        <w:pPr>
                          <w:spacing w:line="240" w:lineRule="auto"/>
                          <w:textDirection w:val="btLr"/>
                        </w:pPr>
                      </w:p>
                    </w:txbxContent>
                  </v:textbox>
                </v:oval>
                <v:shapetype id="_x0000_t32" coordsize="21600,21600" o:spt="32" o:oned="t" path="m,l21600,21600e" filled="f">
                  <v:path arrowok="t" fillok="f" o:connecttype="none"/>
                  <o:lock v:ext="edit" shapetype="t"/>
                </v:shapetype>
                <v:shape id="Straight Arrow Connector 5" o:spid="_x0000_s1030" type="#_x0000_t32" style="position:absolute;left:16668;top:15239;width:117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">
                  <v:stroke endarrow="classic"/>
                </v:shape>
                <v:shape id="Straight Arrow Connector 6" o:spid="_x0000_s1031" type="#_x0000_t32" style="position:absolute;left:30480;top:15239;width:117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">
                  <v:stroke endarrow="classic"/>
                </v:shape>
                <v:shapetype id="_x0000_t202" coordsize="21600,21600" o:spt="202" path="m,l,21600r21600,l21600,xe">
                  <v:stroke joinstyle="miter"/>
                  <v:path gradientshapeok="t" o:connecttype="rect"/>
                </v:shapetype>
                <v:shape id="Text Box 7" o:spid="_x0000_s1032" type="#_x0000_t202" style="position:absolute;left:10217;top:11144;width:1080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" filled="f" stroked="f">
                  <v:textbox inset="2.53958mm,2.53958mm,2.53958mm,2.53958mm">
                    <w:txbxContent>
                      <w:p w:rsidR="00C621A9" w:rsidRDefault="00A14A0E">
                        <w:pPr>
                          <w:spacing w:line="240" w:lineRule="auto"/>
                          <w:jc w:val="center"/>
                          <w:textDirection w:val="btLr"/>
                        </w:pPr>
                        <w:r>
                          <w:rPr>
                            <w:rFonts w:ascii="Open Sans" w:eastAsia="Open Sans" w:hAnsi="Open Sans" w:cs="Open Sans"/>
                            <w:color w:val="000000"/>
                          </w:rPr>
                          <w:t>Beginning</w:t>
                        </w:r>
                      </w:p>
                    </w:txbxContent>
                  </v:textbox>
                </v:shape>
                <v:shape id="Text Box 8" o:spid="_x0000_s1033" type="#_x0000_t202" style="position:absolute;left:24028;top:11144;width:1080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" filled="f" stroked="f">
                  <v:textbox inset="2.53958mm,2.53958mm,2.53958mm,2.53958mm">
                    <w:txbxContent>
                      <w:p w:rsidR="00C621A9" w:rsidRDefault="00A14A0E">
                        <w:pPr>
                          <w:spacing w:line="240" w:lineRule="auto"/>
                          <w:jc w:val="center"/>
                          <w:textDirection w:val="btLr"/>
                        </w:pPr>
                        <w:r>
                          <w:rPr>
                            <w:rFonts w:ascii="Open Sans" w:eastAsia="Open Sans" w:hAnsi="Open Sans" w:cs="Open Sans"/>
                            <w:color w:val="000000"/>
                          </w:rPr>
                          <w:t>Middle</w:t>
                        </w:r>
                      </w:p>
                    </w:txbxContent>
                  </v:textbox>
                </v:shape>
                <v:shape id="Text Box 9" o:spid="_x0000_s1034" type="#_x0000_t202" style="position:absolute;left:37839;top:11144;width:1080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" filled="f" stroked="f">
                  <v:textbox inset="2.53958mm,2.53958mm,2.53958mm,2.53958mm">
                    <w:txbxContent>
                      <w:p w:rsidR="00C621A9" w:rsidRDefault="00A14A0E">
                        <w:pPr>
                          <w:spacing w:line="240" w:lineRule="auto"/>
                          <w:jc w:val="center"/>
                          <w:textDirection w:val="btLr"/>
                        </w:pPr>
                        <w:r>
                          <w:rPr>
                            <w:rFonts w:ascii="Open Sans" w:eastAsia="Open Sans" w:hAnsi="Open Sans" w:cs="Open Sans"/>
                            <w:color w:val="000000"/>
                          </w:rPr>
                          <w:t>End</w:t>
                        </w:r>
                      </w:p>
                    </w:txbxContent>
                  </v:textbox>
                </v:shape>
                <v:shape id="Text Box 10" o:spid="_x0000_s1035" type="#_x0000_t202" style="position:absolute;left:13621;top:8477;width:3162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" filled="f" stroked="f">
                  <v:textbox inset="2.53958mm,2.53958mm,2.53958mm,2.53958mm">
                    <w:txbxContent>
                      <w:p w:rsidR="00C621A9" w:rsidRDefault="00A14A0E">
                        <w:pPr>
                          <w:spacing w:line="240" w:lineRule="auto"/>
                          <w:jc w:val="center"/>
                          <w:textDirection w:val="btLr"/>
                        </w:pPr>
                        <w:r>
                          <w:rPr>
                            <w:rFonts w:ascii="Open Sans" w:eastAsia="Open Sans" w:hAnsi="Open Sans" w:cs="Open Sans"/>
                            <w:b/>
                            <w:color w:val="000000"/>
                            <w:sz w:val="24"/>
                          </w:rPr>
                          <w:t>Location Within Instructional Unit</w:t>
                        </w:r>
                      </w:p>
                    </w:txbxContent>
                  </v:textbox>
                </v:shape>
                <w10:anchorlock/>
              </v:group>
            </w:pict>
          </mc:Fallback>
        </mc:AlternateContent>
      </w:r>
    </w:p>
    <w:p w:rsidR="00C621A9" w:rsidRDefault="00C621A9">
      <w:pPr>
        <w:rPr>
          <w:rFonts w:ascii="Open Sans" w:eastAsia="Open Sans" w:hAnsi="Open Sans" w:cs="Open Sans"/>
          <w:sz w:val="22"/>
          <w:szCs w:val="22"/>
        </w:rPr>
      </w:pPr>
    </w:p>
    <w:p w:rsidR="00C621A9" w:rsidRDefault="00A14A0E">
      <w:pPr>
        <w:numPr>
          <w:ilvl w:val="0"/>
          <w:numId w:val="2"/>
        </w:numPr>
        <w:rPr>
          <w:rFonts w:ascii="Open Sans" w:eastAsia="Open Sans" w:hAnsi="Open Sans" w:cs="Open Sans"/>
          <w:sz w:val="22"/>
          <w:szCs w:val="22"/>
        </w:rPr>
      </w:pPr>
      <w:r>
        <w:rPr>
          <w:rFonts w:ascii="Open Sans" w:eastAsia="Open Sans" w:hAnsi="Open Sans" w:cs="Open Sans"/>
          <w:sz w:val="22"/>
          <w:szCs w:val="22"/>
        </w:rPr>
        <w:t>Chemical formulas</w:t>
      </w:r>
    </w:p>
    <w:p w:rsidR="00C621A9" w:rsidRDefault="00A14A0E">
      <w:pPr>
        <w:numPr>
          <w:ilvl w:val="0"/>
          <w:numId w:val="2"/>
        </w:numPr>
        <w:rPr>
          <w:rFonts w:ascii="Open Sans" w:eastAsia="Open Sans" w:hAnsi="Open Sans" w:cs="Open Sans"/>
          <w:sz w:val="22"/>
          <w:szCs w:val="22"/>
        </w:rPr>
      </w:pPr>
      <w:r>
        <w:rPr>
          <w:rFonts w:ascii="Open Sans" w:eastAsia="Open Sans" w:hAnsi="Open Sans" w:cs="Open Sans"/>
          <w:sz w:val="22"/>
          <w:szCs w:val="22"/>
        </w:rPr>
        <w:t>Drawing Lewis structures of simple molecules</w:t>
      </w:r>
    </w:p>
    <w:p w:rsidR="00C621A9" w:rsidRDefault="00A14A0E">
      <w:pPr>
        <w:numPr>
          <w:ilvl w:val="0"/>
          <w:numId w:val="2"/>
        </w:numPr>
        <w:rPr>
          <w:rFonts w:ascii="Open Sans" w:eastAsia="Open Sans" w:hAnsi="Open Sans" w:cs="Open Sans"/>
          <w:sz w:val="22"/>
          <w:szCs w:val="22"/>
        </w:rPr>
      </w:pPr>
      <w:r>
        <w:rPr>
          <w:rFonts w:ascii="Open Sans" w:eastAsia="Open Sans" w:hAnsi="Open Sans" w:cs="Open Sans"/>
          <w:sz w:val="22"/>
          <w:szCs w:val="22"/>
        </w:rPr>
        <w:t>VSEPR shapes</w:t>
      </w:r>
    </w:p>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sz w:val="22"/>
          <w:szCs w:val="22"/>
        </w:rPr>
      </w:pPr>
      <w:r>
        <w:rPr>
          <w:rFonts w:ascii="Open Sans" w:eastAsia="Open Sans" w:hAnsi="Open Sans" w:cs="Open Sans"/>
          <w:sz w:val="22"/>
          <w:szCs w:val="22"/>
        </w:rPr>
        <w:t>In seventh grade science, students have explored the nature of molecules as combinations of atoms under standard 7.PS1.2.  In addition, students have been introduced to the concept of intermolecular attractions in 7.PS1.6.  This lesson provides students with a reason for those intermolecular attractions in terms of the polarity of molecules; polar molecules tend to exhibit greater intermolecular attractions while nonpolar molecules tend to exhibit less intermolecular attractions.</w:t>
      </w:r>
    </w:p>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sz w:val="22"/>
          <w:szCs w:val="22"/>
        </w:rPr>
      </w:pPr>
      <w:r>
        <w:rPr>
          <w:rFonts w:ascii="Open Sans" w:eastAsia="Open Sans" w:hAnsi="Open Sans" w:cs="Open Sans"/>
          <w:sz w:val="22"/>
          <w:szCs w:val="22"/>
        </w:rPr>
        <w:t xml:space="preserve">Furthermore, this lesson involves two separate strands for understanding polarity.  The first strand addresses electronegativity differences.  Before teaching this lesson, it is necessary to have introduced students to the concept of electronegativity during a unit on periodic trends.  The second strand incorporates the shape of molecules.  It is expected that this lesson on polarity would follow a previous lesson on using VSEPR </w:t>
      </w:r>
      <w:proofErr w:type="gramStart"/>
      <w:r>
        <w:rPr>
          <w:rFonts w:ascii="Open Sans" w:eastAsia="Open Sans" w:hAnsi="Open Sans" w:cs="Open Sans"/>
          <w:sz w:val="22"/>
          <w:szCs w:val="22"/>
        </w:rPr>
        <w:t>theory  to</w:t>
      </w:r>
      <w:proofErr w:type="gramEnd"/>
      <w:r>
        <w:rPr>
          <w:rFonts w:ascii="Open Sans" w:eastAsia="Open Sans" w:hAnsi="Open Sans" w:cs="Open Sans"/>
          <w:sz w:val="22"/>
          <w:szCs w:val="22"/>
        </w:rPr>
        <w:t xml:space="preserve"> predict molecular shape.</w:t>
      </w:r>
    </w:p>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b/>
          <w:sz w:val="22"/>
          <w:szCs w:val="22"/>
        </w:rPr>
      </w:pPr>
      <w:r>
        <w:rPr>
          <w:rFonts w:ascii="Open Sans" w:eastAsia="Open Sans" w:hAnsi="Open Sans" w:cs="Open Sans"/>
          <w:b/>
          <w:sz w:val="22"/>
          <w:szCs w:val="22"/>
        </w:rPr>
        <w:t>Materials</w:t>
      </w:r>
    </w:p>
    <w:p w:rsidR="00C621A9" w:rsidRDefault="00A14A0E">
      <w:pPr>
        <w:numPr>
          <w:ilvl w:val="0"/>
          <w:numId w:val="3"/>
        </w:numPr>
        <w:rPr>
          <w:rFonts w:ascii="Open Sans" w:eastAsia="Open Sans" w:hAnsi="Open Sans" w:cs="Open Sans"/>
          <w:sz w:val="22"/>
          <w:szCs w:val="22"/>
        </w:rPr>
      </w:pPr>
      <w:r>
        <w:rPr>
          <w:rFonts w:ascii="Open Sans" w:eastAsia="Open Sans" w:hAnsi="Open Sans" w:cs="Open Sans"/>
          <w:sz w:val="22"/>
          <w:szCs w:val="22"/>
        </w:rPr>
        <w:t xml:space="preserve">Two </w:t>
      </w:r>
      <w:r w:rsidR="00E436C7">
        <w:rPr>
          <w:rFonts w:ascii="Open Sans" w:eastAsia="Open Sans" w:hAnsi="Open Sans" w:cs="Open Sans"/>
          <w:sz w:val="22"/>
          <w:szCs w:val="22"/>
        </w:rPr>
        <w:t>Styrofoam</w:t>
      </w:r>
      <w:r>
        <w:rPr>
          <w:rFonts w:ascii="Open Sans" w:eastAsia="Open Sans" w:hAnsi="Open Sans" w:cs="Open Sans"/>
          <w:sz w:val="22"/>
          <w:szCs w:val="22"/>
        </w:rPr>
        <w:t xml:space="preserve"> cups</w:t>
      </w:r>
    </w:p>
    <w:p w:rsidR="00C621A9" w:rsidRDefault="00A14A0E">
      <w:pPr>
        <w:numPr>
          <w:ilvl w:val="0"/>
          <w:numId w:val="3"/>
        </w:numPr>
        <w:rPr>
          <w:rFonts w:ascii="Open Sans" w:eastAsia="Open Sans" w:hAnsi="Open Sans" w:cs="Open Sans"/>
          <w:sz w:val="22"/>
          <w:szCs w:val="22"/>
        </w:rPr>
      </w:pPr>
      <w:r>
        <w:rPr>
          <w:rFonts w:ascii="Open Sans" w:eastAsia="Open Sans" w:hAnsi="Open Sans" w:cs="Open Sans"/>
          <w:sz w:val="22"/>
          <w:szCs w:val="22"/>
        </w:rPr>
        <w:t>Two disposable aluminum pie-pans</w:t>
      </w:r>
    </w:p>
    <w:p w:rsidR="00C621A9" w:rsidRDefault="00A14A0E">
      <w:pPr>
        <w:numPr>
          <w:ilvl w:val="0"/>
          <w:numId w:val="3"/>
        </w:numPr>
        <w:rPr>
          <w:rFonts w:ascii="Open Sans" w:eastAsia="Open Sans" w:hAnsi="Open Sans" w:cs="Open Sans"/>
          <w:sz w:val="22"/>
          <w:szCs w:val="22"/>
        </w:rPr>
      </w:pPr>
      <w:r>
        <w:rPr>
          <w:rFonts w:ascii="Open Sans" w:eastAsia="Open Sans" w:hAnsi="Open Sans" w:cs="Open Sans"/>
          <w:sz w:val="22"/>
          <w:szCs w:val="22"/>
        </w:rPr>
        <w:t>Acetone</w:t>
      </w:r>
    </w:p>
    <w:p w:rsidR="00C621A9" w:rsidRDefault="00A14A0E">
      <w:pPr>
        <w:numPr>
          <w:ilvl w:val="0"/>
          <w:numId w:val="3"/>
        </w:numPr>
        <w:rPr>
          <w:rFonts w:ascii="Open Sans" w:eastAsia="Open Sans" w:hAnsi="Open Sans" w:cs="Open Sans"/>
          <w:sz w:val="22"/>
          <w:szCs w:val="22"/>
        </w:rPr>
      </w:pPr>
      <w:r>
        <w:rPr>
          <w:rFonts w:ascii="Open Sans" w:eastAsia="Open Sans" w:hAnsi="Open Sans" w:cs="Open Sans"/>
          <w:sz w:val="22"/>
          <w:szCs w:val="22"/>
        </w:rPr>
        <w:t>Distilled water</w:t>
      </w:r>
    </w:p>
    <w:p w:rsidR="00C621A9" w:rsidRDefault="00A14A0E">
      <w:pPr>
        <w:numPr>
          <w:ilvl w:val="0"/>
          <w:numId w:val="3"/>
        </w:numPr>
        <w:rPr>
          <w:rFonts w:ascii="Open Sans" w:eastAsia="Open Sans" w:hAnsi="Open Sans" w:cs="Open Sans"/>
          <w:sz w:val="22"/>
          <w:szCs w:val="22"/>
        </w:rPr>
      </w:pPr>
      <w:r>
        <w:rPr>
          <w:rFonts w:ascii="Open Sans" w:eastAsia="Open Sans" w:hAnsi="Open Sans" w:cs="Open Sans"/>
          <w:sz w:val="22"/>
          <w:szCs w:val="22"/>
        </w:rPr>
        <w:t>Gumdrops of various colors, at least 10 per group</w:t>
      </w:r>
    </w:p>
    <w:p w:rsidR="00C621A9" w:rsidRDefault="00A14A0E">
      <w:pPr>
        <w:numPr>
          <w:ilvl w:val="0"/>
          <w:numId w:val="3"/>
        </w:numPr>
        <w:rPr>
          <w:rFonts w:ascii="Open Sans" w:eastAsia="Open Sans" w:hAnsi="Open Sans" w:cs="Open Sans"/>
          <w:sz w:val="22"/>
          <w:szCs w:val="22"/>
        </w:rPr>
      </w:pPr>
      <w:r>
        <w:rPr>
          <w:rFonts w:ascii="Open Sans" w:eastAsia="Open Sans" w:hAnsi="Open Sans" w:cs="Open Sans"/>
          <w:sz w:val="22"/>
          <w:szCs w:val="22"/>
        </w:rPr>
        <w:t>Toothpicks of various colors, at least 8 per group</w:t>
      </w:r>
    </w:p>
    <w:p w:rsidR="00C621A9" w:rsidRDefault="00A14A0E">
      <w:pPr>
        <w:numPr>
          <w:ilvl w:val="0"/>
          <w:numId w:val="3"/>
        </w:numPr>
        <w:rPr>
          <w:rFonts w:ascii="Open Sans" w:eastAsia="Open Sans" w:hAnsi="Open Sans" w:cs="Open Sans"/>
          <w:sz w:val="22"/>
          <w:szCs w:val="22"/>
        </w:rPr>
      </w:pPr>
      <w:r>
        <w:rPr>
          <w:rFonts w:ascii="Open Sans" w:eastAsia="Open Sans" w:hAnsi="Open Sans" w:cs="Open Sans"/>
          <w:sz w:val="22"/>
          <w:szCs w:val="22"/>
        </w:rPr>
        <w:t>Marshmallows</w:t>
      </w:r>
    </w:p>
    <w:p w:rsidR="00C621A9" w:rsidRDefault="00C621A9">
      <w:pPr>
        <w:rPr>
          <w:rFonts w:ascii="Open Sans" w:eastAsia="Open Sans" w:hAnsi="Open Sans" w:cs="Open Sans"/>
          <w:b/>
          <w:sz w:val="22"/>
          <w:szCs w:val="22"/>
        </w:rPr>
      </w:pPr>
    </w:p>
    <w:p w:rsidR="00C621A9" w:rsidRDefault="00A14A0E">
      <w:pPr>
        <w:rPr>
          <w:rFonts w:ascii="Open Sans" w:eastAsia="Open Sans" w:hAnsi="Open Sans" w:cs="Open Sans"/>
          <w:b/>
          <w:sz w:val="22"/>
          <w:szCs w:val="22"/>
        </w:rPr>
      </w:pPr>
      <w:r>
        <w:rPr>
          <w:rFonts w:ascii="Open Sans" w:eastAsia="Open Sans" w:hAnsi="Open Sans" w:cs="Open Sans"/>
          <w:b/>
          <w:sz w:val="22"/>
          <w:szCs w:val="22"/>
        </w:rPr>
        <w:t>Lesson Sequence and Instructional Notes</w:t>
      </w:r>
    </w:p>
    <w:p w:rsidR="00C621A9" w:rsidRDefault="00C621A9">
      <w:pPr>
        <w:rPr>
          <w:rFonts w:ascii="Open Sans" w:eastAsia="Open Sans" w:hAnsi="Open Sans" w:cs="Open Sans"/>
          <w:b/>
          <w:sz w:val="22"/>
          <w:szCs w:val="22"/>
        </w:rPr>
      </w:pPr>
    </w:p>
    <w:p w:rsidR="00C621A9" w:rsidRDefault="00A14A0E">
      <w:pPr>
        <w:rPr>
          <w:rFonts w:ascii="Open Sans" w:eastAsia="Open Sans" w:hAnsi="Open Sans" w:cs="Open Sans"/>
          <w:sz w:val="22"/>
          <w:szCs w:val="22"/>
        </w:rPr>
      </w:pPr>
      <w:r>
        <w:rPr>
          <w:rFonts w:ascii="Open Sans" w:eastAsia="Open Sans" w:hAnsi="Open Sans" w:cs="Open Sans"/>
          <w:sz w:val="22"/>
          <w:szCs w:val="22"/>
        </w:rPr>
        <w:t>1. Teacher Demonstration:</w:t>
      </w:r>
    </w:p>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sz w:val="22"/>
          <w:szCs w:val="22"/>
        </w:rPr>
      </w:pPr>
      <w:r>
        <w:rPr>
          <w:rFonts w:ascii="Open Sans" w:eastAsia="Open Sans" w:hAnsi="Open Sans" w:cs="Open Sans"/>
          <w:sz w:val="22"/>
          <w:szCs w:val="22"/>
        </w:rPr>
        <w:t xml:space="preserve">To begin this lesson, a demonstration where acetone dissolves a </w:t>
      </w:r>
      <w:r w:rsidR="00E436C7">
        <w:rPr>
          <w:rFonts w:ascii="Open Sans" w:eastAsia="Open Sans" w:hAnsi="Open Sans" w:cs="Open Sans"/>
          <w:sz w:val="22"/>
          <w:szCs w:val="22"/>
        </w:rPr>
        <w:t>S</w:t>
      </w:r>
      <w:bookmarkStart w:id="0" w:name="_GoBack"/>
      <w:bookmarkEnd w:id="0"/>
      <w:r w:rsidR="00E436C7">
        <w:rPr>
          <w:rFonts w:ascii="Open Sans" w:eastAsia="Open Sans" w:hAnsi="Open Sans" w:cs="Open Sans"/>
          <w:sz w:val="22"/>
          <w:szCs w:val="22"/>
        </w:rPr>
        <w:t>tyrofoam</w:t>
      </w:r>
      <w:r>
        <w:rPr>
          <w:rFonts w:ascii="Open Sans" w:eastAsia="Open Sans" w:hAnsi="Open Sans" w:cs="Open Sans"/>
          <w:sz w:val="22"/>
          <w:szCs w:val="22"/>
        </w:rPr>
        <w:t xml:space="preserve"> cup provides an opportunity for students to discuss the relationship between molecular structure and physical and chemical properties of compounds.</w:t>
      </w:r>
    </w:p>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sz w:val="22"/>
          <w:szCs w:val="22"/>
        </w:rPr>
      </w:pPr>
      <w:r>
        <w:rPr>
          <w:rFonts w:ascii="Open Sans" w:eastAsia="Open Sans" w:hAnsi="Open Sans" w:cs="Open Sans"/>
          <w:sz w:val="22"/>
          <w:szCs w:val="22"/>
        </w:rPr>
        <w:t>First, pour a small amount of acetone in one pie pan.  Pour enough acetone so that it covers the surface of the pie pan up to approximately 1 centimeter.  Pour a similar amount of distilled water in the second pie pan.  Draw the Lewis structures for acetone and for water on the board.</w:t>
      </w:r>
    </w:p>
    <w:p w:rsidR="00C621A9" w:rsidRDefault="00C621A9">
      <w:pPr>
        <w:rPr>
          <w:rFonts w:ascii="Open Sans" w:eastAsia="Open Sans" w:hAnsi="Open Sans" w:cs="Open Sans"/>
          <w:sz w:val="22"/>
          <w:szCs w:val="22"/>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621A9">
        <w:tc>
          <w:tcPr>
            <w:tcW w:w="4680" w:type="dxa"/>
            <w:shd w:val="clear" w:color="auto" w:fill="auto"/>
            <w:tcMar>
              <w:top w:w="100" w:type="dxa"/>
              <w:left w:w="100" w:type="dxa"/>
              <w:bottom w:w="100" w:type="dxa"/>
              <w:right w:w="100" w:type="dxa"/>
            </w:tcMar>
          </w:tcPr>
          <w:p w:rsidR="00C621A9" w:rsidRDefault="00A14A0E">
            <w:pPr>
              <w:jc w:val="center"/>
              <w:rPr>
                <w:rFonts w:ascii="Open Sans" w:eastAsia="Open Sans" w:hAnsi="Open Sans" w:cs="Open Sans"/>
                <w:sz w:val="22"/>
                <w:szCs w:val="22"/>
              </w:rPr>
            </w:pPr>
            <w:r>
              <w:rPr>
                <w:rFonts w:ascii="Open Sans" w:eastAsia="Open Sans" w:hAnsi="Open Sans" w:cs="Open Sans"/>
                <w:noProof/>
                <w:sz w:val="22"/>
                <w:szCs w:val="22"/>
                <w:lang w:val="en-US"/>
              </w:rPr>
              <w:drawing>
                <wp:inline distT="114300" distB="114300" distL="114300" distR="114300">
                  <wp:extent cx="2212106" cy="1423988"/>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2212106" cy="1423988"/>
                          </a:xfrm>
                          <a:prstGeom prst="rect">
                            <a:avLst/>
                          </a:prstGeom>
                          <a:ln/>
                        </pic:spPr>
                      </pic:pic>
                    </a:graphicData>
                  </a:graphic>
                </wp:inline>
              </w:drawing>
            </w:r>
          </w:p>
          <w:p w:rsidR="00C621A9" w:rsidRDefault="00A14A0E">
            <w:pPr>
              <w:jc w:val="center"/>
              <w:rPr>
                <w:rFonts w:ascii="Open Sans" w:eastAsia="Open Sans" w:hAnsi="Open Sans" w:cs="Open Sans"/>
                <w:sz w:val="22"/>
                <w:szCs w:val="22"/>
              </w:rPr>
            </w:pPr>
            <w:r>
              <w:rPr>
                <w:rFonts w:ascii="Open Sans" w:eastAsia="Open Sans" w:hAnsi="Open Sans" w:cs="Open Sans"/>
                <w:sz w:val="22"/>
                <w:szCs w:val="22"/>
              </w:rPr>
              <w:t>Figure 1:  acetone</w:t>
            </w:r>
          </w:p>
        </w:tc>
        <w:tc>
          <w:tcPr>
            <w:tcW w:w="4680" w:type="dxa"/>
            <w:shd w:val="clear" w:color="auto" w:fill="auto"/>
            <w:tcMar>
              <w:top w:w="100" w:type="dxa"/>
              <w:left w:w="100" w:type="dxa"/>
              <w:bottom w:w="100" w:type="dxa"/>
              <w:right w:w="100" w:type="dxa"/>
            </w:tcMar>
          </w:tcPr>
          <w:p w:rsidR="00C621A9" w:rsidRDefault="00A14A0E">
            <w:pPr>
              <w:jc w:val="center"/>
              <w:rPr>
                <w:rFonts w:ascii="Open Sans" w:eastAsia="Open Sans" w:hAnsi="Open Sans" w:cs="Open Sans"/>
                <w:sz w:val="22"/>
                <w:szCs w:val="22"/>
              </w:rPr>
            </w:pPr>
            <w:r>
              <w:rPr>
                <w:rFonts w:ascii="Open Sans" w:eastAsia="Open Sans" w:hAnsi="Open Sans" w:cs="Open Sans"/>
                <w:noProof/>
                <w:sz w:val="22"/>
                <w:szCs w:val="22"/>
                <w:lang w:val="en-US"/>
              </w:rPr>
              <w:drawing>
                <wp:inline distT="114300" distB="114300" distL="114300" distR="114300">
                  <wp:extent cx="1662901" cy="1223963"/>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1662901" cy="1223963"/>
                          </a:xfrm>
                          <a:prstGeom prst="rect">
                            <a:avLst/>
                          </a:prstGeom>
                          <a:ln/>
                        </pic:spPr>
                      </pic:pic>
                    </a:graphicData>
                  </a:graphic>
                </wp:inline>
              </w:drawing>
            </w:r>
          </w:p>
          <w:p w:rsidR="00C621A9" w:rsidRDefault="00C621A9">
            <w:pPr>
              <w:rPr>
                <w:rFonts w:ascii="Open Sans" w:eastAsia="Open Sans" w:hAnsi="Open Sans" w:cs="Open Sans"/>
                <w:sz w:val="22"/>
                <w:szCs w:val="22"/>
              </w:rPr>
            </w:pPr>
          </w:p>
          <w:p w:rsidR="00C621A9" w:rsidRDefault="00A14A0E">
            <w:pPr>
              <w:jc w:val="center"/>
              <w:rPr>
                <w:rFonts w:ascii="Open Sans" w:eastAsia="Open Sans" w:hAnsi="Open Sans" w:cs="Open Sans"/>
                <w:sz w:val="22"/>
                <w:szCs w:val="22"/>
              </w:rPr>
            </w:pPr>
            <w:r>
              <w:rPr>
                <w:rFonts w:ascii="Open Sans" w:eastAsia="Open Sans" w:hAnsi="Open Sans" w:cs="Open Sans"/>
                <w:sz w:val="22"/>
                <w:szCs w:val="22"/>
              </w:rPr>
              <w:t>Figure 2:  water</w:t>
            </w:r>
          </w:p>
        </w:tc>
      </w:tr>
    </w:tbl>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sz w:val="22"/>
          <w:szCs w:val="22"/>
        </w:rPr>
      </w:pPr>
      <w:r>
        <w:rPr>
          <w:rFonts w:ascii="Open Sans" w:eastAsia="Open Sans" w:hAnsi="Open Sans" w:cs="Open Sans"/>
          <w:sz w:val="22"/>
          <w:szCs w:val="22"/>
        </w:rPr>
        <w:t>Have students discuss with their groups two ways that the molecules’ structures are similar and two ways that the molecules are different.  Select students to share a similarity and difference they observed.</w:t>
      </w:r>
      <w:r>
        <w:rPr>
          <w:rFonts w:ascii="Open Sans" w:eastAsia="Open Sans" w:hAnsi="Open Sans" w:cs="Open Sans"/>
          <w:sz w:val="22"/>
          <w:szCs w:val="22"/>
        </w:rPr>
        <w:tab/>
      </w:r>
    </w:p>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sz w:val="22"/>
          <w:szCs w:val="22"/>
        </w:rPr>
      </w:pPr>
      <w:r>
        <w:rPr>
          <w:rFonts w:ascii="Open Sans" w:eastAsia="Open Sans" w:hAnsi="Open Sans" w:cs="Open Sans"/>
          <w:sz w:val="22"/>
          <w:szCs w:val="22"/>
        </w:rPr>
        <w:t xml:space="preserve">Place the </w:t>
      </w:r>
      <w:r w:rsidR="00E436C7">
        <w:rPr>
          <w:rFonts w:ascii="Open Sans" w:eastAsia="Open Sans" w:hAnsi="Open Sans" w:cs="Open Sans"/>
          <w:sz w:val="22"/>
          <w:szCs w:val="22"/>
        </w:rPr>
        <w:t>Styrofoam</w:t>
      </w:r>
      <w:r>
        <w:rPr>
          <w:rFonts w:ascii="Open Sans" w:eastAsia="Open Sans" w:hAnsi="Open Sans" w:cs="Open Sans"/>
          <w:sz w:val="22"/>
          <w:szCs w:val="22"/>
        </w:rPr>
        <w:t xml:space="preserve"> cup in the acetone-filled pie pan.  Have students make observations as the acetone dissolves the </w:t>
      </w:r>
      <w:r w:rsidR="00E436C7">
        <w:rPr>
          <w:rFonts w:ascii="Open Sans" w:eastAsia="Open Sans" w:hAnsi="Open Sans" w:cs="Open Sans"/>
          <w:sz w:val="22"/>
          <w:szCs w:val="22"/>
        </w:rPr>
        <w:t>Styrofoam</w:t>
      </w:r>
      <w:r>
        <w:rPr>
          <w:rFonts w:ascii="Open Sans" w:eastAsia="Open Sans" w:hAnsi="Open Sans" w:cs="Open Sans"/>
          <w:sz w:val="22"/>
          <w:szCs w:val="22"/>
        </w:rPr>
        <w:t xml:space="preserve">.  (The acetone contains nonpolar segments, and therefore, it dissolves the nonpolar monomers of the </w:t>
      </w:r>
      <w:r w:rsidR="00E436C7">
        <w:rPr>
          <w:rFonts w:ascii="Open Sans" w:eastAsia="Open Sans" w:hAnsi="Open Sans" w:cs="Open Sans"/>
          <w:sz w:val="22"/>
          <w:szCs w:val="22"/>
        </w:rPr>
        <w:t>Styrofoam</w:t>
      </w:r>
      <w:r>
        <w:rPr>
          <w:rFonts w:ascii="Open Sans" w:eastAsia="Open Sans" w:hAnsi="Open Sans" w:cs="Open Sans"/>
          <w:sz w:val="22"/>
          <w:szCs w:val="22"/>
        </w:rPr>
        <w:t xml:space="preserve">.)  Then, repeat the experiment with the second </w:t>
      </w:r>
      <w:r w:rsidR="00E436C7">
        <w:rPr>
          <w:rFonts w:ascii="Open Sans" w:eastAsia="Open Sans" w:hAnsi="Open Sans" w:cs="Open Sans"/>
          <w:sz w:val="22"/>
          <w:szCs w:val="22"/>
        </w:rPr>
        <w:t>Styrofoam</w:t>
      </w:r>
      <w:r>
        <w:rPr>
          <w:rFonts w:ascii="Open Sans" w:eastAsia="Open Sans" w:hAnsi="Open Sans" w:cs="Open Sans"/>
          <w:sz w:val="22"/>
          <w:szCs w:val="22"/>
        </w:rPr>
        <w:t xml:space="preserve"> cup in the pie-pan of water.  (Nothing happens this time because water is a polar molecule while the </w:t>
      </w:r>
      <w:r w:rsidR="00E436C7">
        <w:rPr>
          <w:rFonts w:ascii="Open Sans" w:eastAsia="Open Sans" w:hAnsi="Open Sans" w:cs="Open Sans"/>
          <w:sz w:val="22"/>
          <w:szCs w:val="22"/>
        </w:rPr>
        <w:t>Styrofoam</w:t>
      </w:r>
      <w:r>
        <w:rPr>
          <w:rFonts w:ascii="Open Sans" w:eastAsia="Open Sans" w:hAnsi="Open Sans" w:cs="Open Sans"/>
          <w:sz w:val="22"/>
          <w:szCs w:val="22"/>
        </w:rPr>
        <w:t xml:space="preserve"> is nonpolar.  The polar solvent water will not dissolve the nonpolar units of the </w:t>
      </w:r>
      <w:r w:rsidR="00E436C7">
        <w:rPr>
          <w:rFonts w:ascii="Open Sans" w:eastAsia="Open Sans" w:hAnsi="Open Sans" w:cs="Open Sans"/>
          <w:sz w:val="22"/>
          <w:szCs w:val="22"/>
        </w:rPr>
        <w:t>Styrofoam</w:t>
      </w:r>
      <w:r>
        <w:rPr>
          <w:rFonts w:ascii="Open Sans" w:eastAsia="Open Sans" w:hAnsi="Open Sans" w:cs="Open Sans"/>
          <w:sz w:val="22"/>
          <w:szCs w:val="22"/>
        </w:rPr>
        <w:t>.)  Instruct students that the difference in the result is related to the polar nature of water and the nonpolar nature of acetone.  This is why acetone will dissolve fingernail polish as well.  Then, introduce students to today’s assessment by telling them that they will study the effect of molecular shape and electronegativity differences on the polarity of molecules.</w:t>
      </w:r>
    </w:p>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sz w:val="22"/>
          <w:szCs w:val="22"/>
        </w:rPr>
      </w:pPr>
      <w:r>
        <w:rPr>
          <w:rFonts w:ascii="Open Sans" w:eastAsia="Open Sans" w:hAnsi="Open Sans" w:cs="Open Sans"/>
          <w:sz w:val="22"/>
          <w:szCs w:val="22"/>
        </w:rPr>
        <w:t>2.  Gumdrop Models Activity:</w:t>
      </w:r>
    </w:p>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i/>
          <w:sz w:val="22"/>
          <w:szCs w:val="22"/>
        </w:rPr>
      </w:pPr>
      <w:r>
        <w:rPr>
          <w:rFonts w:ascii="Open Sans" w:eastAsia="Open Sans" w:hAnsi="Open Sans" w:cs="Open Sans"/>
          <w:sz w:val="22"/>
          <w:szCs w:val="22"/>
        </w:rPr>
        <w:t xml:space="preserve">Next, distribute copies of the student activity.  Each group will need two copies, as they will create a model for a polar molecule and for a nonpolar molecule.  In addition, provide students with a table of elements’ electronegativity values.  They may find one in their textbooks, or on a website, such as ptable.com.  Show </w:t>
      </w:r>
      <w:proofErr w:type="gramStart"/>
      <w:r>
        <w:rPr>
          <w:rFonts w:ascii="Open Sans" w:eastAsia="Open Sans" w:hAnsi="Open Sans" w:cs="Open Sans"/>
          <w:sz w:val="22"/>
          <w:szCs w:val="22"/>
        </w:rPr>
        <w:t>students</w:t>
      </w:r>
      <w:proofErr w:type="gramEnd"/>
      <w:r>
        <w:rPr>
          <w:rFonts w:ascii="Open Sans" w:eastAsia="Open Sans" w:hAnsi="Open Sans" w:cs="Open Sans"/>
          <w:sz w:val="22"/>
          <w:szCs w:val="22"/>
        </w:rPr>
        <w:t xml:space="preserve"> examples of gumdrop models and review the names of each of the shapes.  </w:t>
      </w:r>
      <w:r>
        <w:rPr>
          <w:rFonts w:ascii="Open Sans" w:eastAsia="Open Sans" w:hAnsi="Open Sans" w:cs="Open Sans"/>
          <w:i/>
          <w:sz w:val="22"/>
          <w:szCs w:val="22"/>
        </w:rPr>
        <w:t xml:space="preserve">NOTE:  These examples do not use colored toothpicks to show polarity.  These are only provided in order to give students </w:t>
      </w:r>
      <w:proofErr w:type="gramStart"/>
      <w:r>
        <w:rPr>
          <w:rFonts w:ascii="Open Sans" w:eastAsia="Open Sans" w:hAnsi="Open Sans" w:cs="Open Sans"/>
          <w:i/>
          <w:sz w:val="22"/>
          <w:szCs w:val="22"/>
        </w:rPr>
        <w:t>a</w:t>
      </w:r>
      <w:proofErr w:type="gramEnd"/>
      <w:r>
        <w:rPr>
          <w:rFonts w:ascii="Open Sans" w:eastAsia="Open Sans" w:hAnsi="Open Sans" w:cs="Open Sans"/>
          <w:i/>
          <w:sz w:val="22"/>
          <w:szCs w:val="22"/>
        </w:rPr>
        <w:t xml:space="preserve"> examples of the VSEPR shapes using gumdrops and toothpicks.</w:t>
      </w:r>
    </w:p>
    <w:p w:rsidR="00A14A0E" w:rsidRDefault="00A14A0E">
      <w:pPr>
        <w:rPr>
          <w:rFonts w:ascii="Open Sans" w:eastAsia="Open Sans" w:hAnsi="Open Sans" w:cs="Open Sans"/>
          <w:i/>
          <w:sz w:val="22"/>
          <w:szCs w:val="22"/>
        </w:rPr>
      </w:pPr>
    </w:p>
    <w:p w:rsidR="00A14A0E" w:rsidRDefault="00A14A0E">
      <w:pPr>
        <w:rPr>
          <w:rFonts w:ascii="Open Sans" w:eastAsia="Open Sans" w:hAnsi="Open Sans" w:cs="Open Sans"/>
          <w:i/>
          <w:sz w:val="22"/>
          <w:szCs w:val="22"/>
        </w:rPr>
      </w:pPr>
    </w:p>
    <w:p w:rsidR="00A14A0E" w:rsidRDefault="00A14A0E">
      <w:pPr>
        <w:rPr>
          <w:rFonts w:ascii="Open Sans" w:eastAsia="Open Sans" w:hAnsi="Open Sans" w:cs="Open Sans"/>
          <w:i/>
          <w:sz w:val="22"/>
          <w:szCs w:val="22"/>
        </w:rPr>
      </w:pPr>
    </w:p>
    <w:p w:rsidR="00A14A0E" w:rsidRDefault="00A14A0E">
      <w:pPr>
        <w:rPr>
          <w:rFonts w:ascii="Open Sans" w:eastAsia="Open Sans" w:hAnsi="Open Sans" w:cs="Open Sans"/>
          <w:i/>
          <w:sz w:val="22"/>
          <w:szCs w:val="22"/>
        </w:rPr>
      </w:pPr>
    </w:p>
    <w:p w:rsidR="00A14A0E" w:rsidRDefault="00A14A0E">
      <w:pPr>
        <w:rPr>
          <w:rFonts w:ascii="Open Sans" w:eastAsia="Open Sans" w:hAnsi="Open Sans" w:cs="Open Sans"/>
          <w:i/>
          <w:sz w:val="22"/>
          <w:szCs w:val="22"/>
        </w:rPr>
      </w:pPr>
    </w:p>
    <w:p w:rsidR="00A14A0E" w:rsidRDefault="00A14A0E">
      <w:pPr>
        <w:rPr>
          <w:rFonts w:ascii="Open Sans" w:eastAsia="Open Sans" w:hAnsi="Open Sans" w:cs="Open Sans"/>
          <w:i/>
          <w:sz w:val="22"/>
          <w:szCs w:val="22"/>
        </w:rPr>
      </w:pPr>
    </w:p>
    <w:p w:rsidR="00C621A9" w:rsidRDefault="00C621A9">
      <w:pPr>
        <w:rPr>
          <w:rFonts w:ascii="Open Sans" w:eastAsia="Open Sans" w:hAnsi="Open Sans" w:cs="Open Sans"/>
          <w:sz w:val="22"/>
          <w:szCs w:val="22"/>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621A9">
        <w:tc>
          <w:tcPr>
            <w:tcW w:w="4680" w:type="dxa"/>
            <w:shd w:val="clear" w:color="auto" w:fill="auto"/>
            <w:tcMar>
              <w:top w:w="100" w:type="dxa"/>
              <w:left w:w="100" w:type="dxa"/>
              <w:bottom w:w="100" w:type="dxa"/>
              <w:right w:w="100" w:type="dxa"/>
            </w:tcMar>
          </w:tcPr>
          <w:p w:rsidR="00C621A9" w:rsidRDefault="00A14A0E">
            <w:pPr>
              <w:widowControl w:val="0"/>
              <w:pBdr>
                <w:top w:val="nil"/>
                <w:left w:val="nil"/>
                <w:bottom w:val="nil"/>
                <w:right w:val="nil"/>
                <w:between w:val="nil"/>
              </w:pBdr>
              <w:spacing w:line="240" w:lineRule="auto"/>
              <w:rPr>
                <w:rFonts w:ascii="Open Sans" w:eastAsia="Open Sans" w:hAnsi="Open Sans" w:cs="Open Sans"/>
                <w:sz w:val="22"/>
                <w:szCs w:val="22"/>
              </w:rPr>
            </w:pPr>
            <w:r>
              <w:rPr>
                <w:rFonts w:ascii="Open Sans" w:eastAsia="Open Sans" w:hAnsi="Open Sans" w:cs="Open Sans"/>
                <w:noProof/>
                <w:sz w:val="22"/>
                <w:szCs w:val="22"/>
                <w:lang w:val="en-US"/>
              </w:rPr>
              <w:drawing>
                <wp:inline distT="114300" distB="114300" distL="114300" distR="114300">
                  <wp:extent cx="1976438" cy="852433"/>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976438" cy="852433"/>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vAlign w:val="center"/>
          </w:tcPr>
          <w:p w:rsidR="00C621A9" w:rsidRDefault="00A14A0E">
            <w:pPr>
              <w:widowControl w:val="0"/>
              <w:pBdr>
                <w:top w:val="nil"/>
                <w:left w:val="nil"/>
                <w:bottom w:val="nil"/>
                <w:right w:val="nil"/>
                <w:between w:val="nil"/>
              </w:pBdr>
              <w:spacing w:line="240" w:lineRule="auto"/>
              <w:rPr>
                <w:rFonts w:ascii="Open Sans" w:eastAsia="Open Sans" w:hAnsi="Open Sans" w:cs="Open Sans"/>
                <w:sz w:val="22"/>
                <w:szCs w:val="22"/>
              </w:rPr>
            </w:pPr>
            <w:r>
              <w:rPr>
                <w:rFonts w:ascii="Open Sans" w:eastAsia="Open Sans" w:hAnsi="Open Sans" w:cs="Open Sans"/>
                <w:sz w:val="22"/>
                <w:szCs w:val="22"/>
              </w:rPr>
              <w:t>Linear</w:t>
            </w:r>
          </w:p>
        </w:tc>
      </w:tr>
      <w:tr w:rsidR="00C621A9">
        <w:tc>
          <w:tcPr>
            <w:tcW w:w="4680" w:type="dxa"/>
            <w:shd w:val="clear" w:color="auto" w:fill="auto"/>
            <w:tcMar>
              <w:top w:w="100" w:type="dxa"/>
              <w:left w:w="100" w:type="dxa"/>
              <w:bottom w:w="100" w:type="dxa"/>
              <w:right w:w="100" w:type="dxa"/>
            </w:tcMar>
          </w:tcPr>
          <w:p w:rsidR="00C621A9" w:rsidRDefault="00A14A0E">
            <w:pPr>
              <w:widowControl w:val="0"/>
              <w:pBdr>
                <w:top w:val="nil"/>
                <w:left w:val="nil"/>
                <w:bottom w:val="nil"/>
                <w:right w:val="nil"/>
                <w:between w:val="nil"/>
              </w:pBdr>
              <w:spacing w:line="240" w:lineRule="auto"/>
              <w:rPr>
                <w:rFonts w:ascii="Open Sans" w:eastAsia="Open Sans" w:hAnsi="Open Sans" w:cs="Open Sans"/>
                <w:sz w:val="22"/>
                <w:szCs w:val="22"/>
              </w:rPr>
            </w:pPr>
            <w:r>
              <w:rPr>
                <w:rFonts w:ascii="Open Sans" w:eastAsia="Open Sans" w:hAnsi="Open Sans" w:cs="Open Sans"/>
                <w:noProof/>
                <w:sz w:val="22"/>
                <w:szCs w:val="22"/>
                <w:lang w:val="en-US"/>
              </w:rPr>
              <w:drawing>
                <wp:inline distT="114300" distB="114300" distL="114300" distR="114300">
                  <wp:extent cx="1462088" cy="1373921"/>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462088" cy="1373921"/>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vAlign w:val="center"/>
          </w:tcPr>
          <w:p w:rsidR="00C621A9" w:rsidRDefault="00A14A0E">
            <w:pPr>
              <w:widowControl w:val="0"/>
              <w:pBdr>
                <w:top w:val="nil"/>
                <w:left w:val="nil"/>
                <w:bottom w:val="nil"/>
                <w:right w:val="nil"/>
                <w:between w:val="nil"/>
              </w:pBdr>
              <w:spacing w:line="240" w:lineRule="auto"/>
              <w:rPr>
                <w:rFonts w:ascii="Open Sans" w:eastAsia="Open Sans" w:hAnsi="Open Sans" w:cs="Open Sans"/>
                <w:sz w:val="22"/>
                <w:szCs w:val="22"/>
              </w:rPr>
            </w:pPr>
            <w:r>
              <w:rPr>
                <w:rFonts w:ascii="Open Sans" w:eastAsia="Open Sans" w:hAnsi="Open Sans" w:cs="Open Sans"/>
                <w:sz w:val="22"/>
                <w:szCs w:val="22"/>
              </w:rPr>
              <w:t>Trigonal planar</w:t>
            </w:r>
          </w:p>
        </w:tc>
      </w:tr>
      <w:tr w:rsidR="00C621A9">
        <w:tc>
          <w:tcPr>
            <w:tcW w:w="4680" w:type="dxa"/>
            <w:shd w:val="clear" w:color="auto" w:fill="auto"/>
            <w:tcMar>
              <w:top w:w="100" w:type="dxa"/>
              <w:left w:w="100" w:type="dxa"/>
              <w:bottom w:w="100" w:type="dxa"/>
              <w:right w:w="100" w:type="dxa"/>
            </w:tcMar>
          </w:tcPr>
          <w:p w:rsidR="00C621A9" w:rsidRDefault="00A14A0E">
            <w:pPr>
              <w:widowControl w:val="0"/>
              <w:pBdr>
                <w:top w:val="nil"/>
                <w:left w:val="nil"/>
                <w:bottom w:val="nil"/>
                <w:right w:val="nil"/>
                <w:between w:val="nil"/>
              </w:pBdr>
              <w:spacing w:line="240" w:lineRule="auto"/>
              <w:rPr>
                <w:rFonts w:ascii="Open Sans" w:eastAsia="Open Sans" w:hAnsi="Open Sans" w:cs="Open Sans"/>
                <w:sz w:val="22"/>
                <w:szCs w:val="22"/>
              </w:rPr>
            </w:pPr>
            <w:r>
              <w:rPr>
                <w:rFonts w:ascii="Open Sans" w:eastAsia="Open Sans" w:hAnsi="Open Sans" w:cs="Open Sans"/>
                <w:noProof/>
                <w:sz w:val="22"/>
                <w:szCs w:val="22"/>
                <w:lang w:val="en-US"/>
              </w:rPr>
              <w:drawing>
                <wp:inline distT="114300" distB="114300" distL="114300" distR="114300">
                  <wp:extent cx="1423988" cy="1575986"/>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1423988" cy="1575986"/>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vAlign w:val="center"/>
          </w:tcPr>
          <w:p w:rsidR="00C621A9" w:rsidRDefault="00A14A0E">
            <w:pPr>
              <w:widowControl w:val="0"/>
              <w:pBdr>
                <w:top w:val="nil"/>
                <w:left w:val="nil"/>
                <w:bottom w:val="nil"/>
                <w:right w:val="nil"/>
                <w:between w:val="nil"/>
              </w:pBdr>
              <w:spacing w:line="240" w:lineRule="auto"/>
              <w:rPr>
                <w:rFonts w:ascii="Open Sans" w:eastAsia="Open Sans" w:hAnsi="Open Sans" w:cs="Open Sans"/>
                <w:sz w:val="22"/>
                <w:szCs w:val="22"/>
              </w:rPr>
            </w:pPr>
            <w:r>
              <w:rPr>
                <w:rFonts w:ascii="Open Sans" w:eastAsia="Open Sans" w:hAnsi="Open Sans" w:cs="Open Sans"/>
                <w:sz w:val="22"/>
                <w:szCs w:val="22"/>
              </w:rPr>
              <w:t>Bent -- trigonal planar</w:t>
            </w:r>
          </w:p>
        </w:tc>
      </w:tr>
      <w:tr w:rsidR="00C621A9">
        <w:tc>
          <w:tcPr>
            <w:tcW w:w="4680" w:type="dxa"/>
            <w:shd w:val="clear" w:color="auto" w:fill="auto"/>
            <w:tcMar>
              <w:top w:w="100" w:type="dxa"/>
              <w:left w:w="100" w:type="dxa"/>
              <w:bottom w:w="100" w:type="dxa"/>
              <w:right w:w="100" w:type="dxa"/>
            </w:tcMar>
          </w:tcPr>
          <w:p w:rsidR="00C621A9" w:rsidRDefault="00A14A0E">
            <w:pPr>
              <w:widowControl w:val="0"/>
              <w:pBdr>
                <w:top w:val="nil"/>
                <w:left w:val="nil"/>
                <w:bottom w:val="nil"/>
                <w:right w:val="nil"/>
                <w:between w:val="nil"/>
              </w:pBdr>
              <w:spacing w:line="240" w:lineRule="auto"/>
              <w:rPr>
                <w:rFonts w:ascii="Open Sans" w:eastAsia="Open Sans" w:hAnsi="Open Sans" w:cs="Open Sans"/>
                <w:sz w:val="22"/>
                <w:szCs w:val="22"/>
              </w:rPr>
            </w:pPr>
            <w:r>
              <w:rPr>
                <w:rFonts w:ascii="Open Sans" w:eastAsia="Open Sans" w:hAnsi="Open Sans" w:cs="Open Sans"/>
                <w:noProof/>
                <w:sz w:val="22"/>
                <w:szCs w:val="22"/>
                <w:lang w:val="en-US"/>
              </w:rPr>
              <w:drawing>
                <wp:inline distT="114300" distB="114300" distL="114300" distR="114300">
                  <wp:extent cx="1395413" cy="177368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395413" cy="1773687"/>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vAlign w:val="center"/>
          </w:tcPr>
          <w:p w:rsidR="00C621A9" w:rsidRDefault="00A14A0E">
            <w:pPr>
              <w:widowControl w:val="0"/>
              <w:pBdr>
                <w:top w:val="nil"/>
                <w:left w:val="nil"/>
                <w:bottom w:val="nil"/>
                <w:right w:val="nil"/>
                <w:between w:val="nil"/>
              </w:pBdr>
              <w:spacing w:line="240" w:lineRule="auto"/>
              <w:rPr>
                <w:rFonts w:ascii="Open Sans" w:eastAsia="Open Sans" w:hAnsi="Open Sans" w:cs="Open Sans"/>
                <w:sz w:val="22"/>
                <w:szCs w:val="22"/>
              </w:rPr>
            </w:pPr>
            <w:r>
              <w:rPr>
                <w:rFonts w:ascii="Open Sans" w:eastAsia="Open Sans" w:hAnsi="Open Sans" w:cs="Open Sans"/>
                <w:sz w:val="22"/>
                <w:szCs w:val="22"/>
              </w:rPr>
              <w:t>Tetrahedral</w:t>
            </w:r>
          </w:p>
        </w:tc>
      </w:tr>
      <w:tr w:rsidR="00C621A9">
        <w:tc>
          <w:tcPr>
            <w:tcW w:w="4680" w:type="dxa"/>
            <w:shd w:val="clear" w:color="auto" w:fill="auto"/>
            <w:tcMar>
              <w:top w:w="100" w:type="dxa"/>
              <w:left w:w="100" w:type="dxa"/>
              <w:bottom w:w="100" w:type="dxa"/>
              <w:right w:w="100" w:type="dxa"/>
            </w:tcMar>
          </w:tcPr>
          <w:p w:rsidR="00C621A9" w:rsidRDefault="00A14A0E">
            <w:pPr>
              <w:widowControl w:val="0"/>
              <w:pBdr>
                <w:top w:val="nil"/>
                <w:left w:val="nil"/>
                <w:bottom w:val="nil"/>
                <w:right w:val="nil"/>
                <w:between w:val="nil"/>
              </w:pBdr>
              <w:spacing w:line="240" w:lineRule="auto"/>
              <w:rPr>
                <w:rFonts w:ascii="Open Sans" w:eastAsia="Open Sans" w:hAnsi="Open Sans" w:cs="Open Sans"/>
                <w:sz w:val="22"/>
                <w:szCs w:val="22"/>
              </w:rPr>
            </w:pPr>
            <w:r>
              <w:rPr>
                <w:rFonts w:ascii="Open Sans" w:eastAsia="Open Sans" w:hAnsi="Open Sans" w:cs="Open Sans"/>
                <w:noProof/>
                <w:sz w:val="22"/>
                <w:szCs w:val="22"/>
                <w:lang w:val="en-US"/>
              </w:rPr>
              <w:lastRenderedPageBreak/>
              <w:drawing>
                <wp:inline distT="114300" distB="114300" distL="114300" distR="114300">
                  <wp:extent cx="1366838" cy="1716313"/>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366838" cy="1716313"/>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vAlign w:val="center"/>
          </w:tcPr>
          <w:p w:rsidR="00C621A9" w:rsidRDefault="00A14A0E">
            <w:pPr>
              <w:widowControl w:val="0"/>
              <w:pBdr>
                <w:top w:val="nil"/>
                <w:left w:val="nil"/>
                <w:bottom w:val="nil"/>
                <w:right w:val="nil"/>
                <w:between w:val="nil"/>
              </w:pBdr>
              <w:spacing w:line="240" w:lineRule="auto"/>
              <w:rPr>
                <w:rFonts w:ascii="Open Sans" w:eastAsia="Open Sans" w:hAnsi="Open Sans" w:cs="Open Sans"/>
                <w:sz w:val="22"/>
                <w:szCs w:val="22"/>
              </w:rPr>
            </w:pPr>
            <w:r>
              <w:rPr>
                <w:rFonts w:ascii="Open Sans" w:eastAsia="Open Sans" w:hAnsi="Open Sans" w:cs="Open Sans"/>
                <w:sz w:val="22"/>
                <w:szCs w:val="22"/>
              </w:rPr>
              <w:t>Trigonal pyramidal</w:t>
            </w:r>
          </w:p>
        </w:tc>
      </w:tr>
      <w:tr w:rsidR="00C621A9">
        <w:tc>
          <w:tcPr>
            <w:tcW w:w="4680" w:type="dxa"/>
            <w:shd w:val="clear" w:color="auto" w:fill="auto"/>
            <w:tcMar>
              <w:top w:w="100" w:type="dxa"/>
              <w:left w:w="100" w:type="dxa"/>
              <w:bottom w:w="100" w:type="dxa"/>
              <w:right w:w="100" w:type="dxa"/>
            </w:tcMar>
          </w:tcPr>
          <w:p w:rsidR="00C621A9" w:rsidRDefault="00A14A0E">
            <w:pPr>
              <w:widowControl w:val="0"/>
              <w:pBdr>
                <w:top w:val="nil"/>
                <w:left w:val="nil"/>
                <w:bottom w:val="nil"/>
                <w:right w:val="nil"/>
                <w:between w:val="nil"/>
              </w:pBdr>
              <w:spacing w:line="240" w:lineRule="auto"/>
              <w:rPr>
                <w:rFonts w:ascii="Open Sans" w:eastAsia="Open Sans" w:hAnsi="Open Sans" w:cs="Open Sans"/>
                <w:sz w:val="22"/>
                <w:szCs w:val="22"/>
              </w:rPr>
            </w:pPr>
            <w:r>
              <w:rPr>
                <w:rFonts w:ascii="Open Sans" w:eastAsia="Open Sans" w:hAnsi="Open Sans" w:cs="Open Sans"/>
                <w:noProof/>
                <w:sz w:val="22"/>
                <w:szCs w:val="22"/>
                <w:lang w:val="en-US"/>
              </w:rPr>
              <w:drawing>
                <wp:inline distT="114300" distB="114300" distL="114300" distR="114300">
                  <wp:extent cx="1472472" cy="1614488"/>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472472" cy="1614488"/>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vAlign w:val="center"/>
          </w:tcPr>
          <w:p w:rsidR="00C621A9" w:rsidRDefault="00A14A0E">
            <w:pPr>
              <w:widowControl w:val="0"/>
              <w:pBdr>
                <w:top w:val="nil"/>
                <w:left w:val="nil"/>
                <w:bottom w:val="nil"/>
                <w:right w:val="nil"/>
                <w:between w:val="nil"/>
              </w:pBdr>
              <w:spacing w:line="240" w:lineRule="auto"/>
              <w:rPr>
                <w:rFonts w:ascii="Open Sans" w:eastAsia="Open Sans" w:hAnsi="Open Sans" w:cs="Open Sans"/>
                <w:sz w:val="22"/>
                <w:szCs w:val="22"/>
              </w:rPr>
            </w:pPr>
            <w:r>
              <w:rPr>
                <w:rFonts w:ascii="Open Sans" w:eastAsia="Open Sans" w:hAnsi="Open Sans" w:cs="Open Sans"/>
                <w:sz w:val="22"/>
                <w:szCs w:val="22"/>
              </w:rPr>
              <w:t>Bent -- tetrahedral</w:t>
            </w:r>
          </w:p>
        </w:tc>
      </w:tr>
    </w:tbl>
    <w:p w:rsidR="00C621A9" w:rsidRDefault="00C621A9">
      <w:pPr>
        <w:rPr>
          <w:rFonts w:ascii="Open Sans" w:eastAsia="Open Sans" w:hAnsi="Open Sans" w:cs="Open Sans"/>
          <w:sz w:val="22"/>
          <w:szCs w:val="22"/>
        </w:rPr>
      </w:pPr>
    </w:p>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sz w:val="22"/>
          <w:szCs w:val="22"/>
        </w:rPr>
      </w:pPr>
      <w:r>
        <w:rPr>
          <w:rFonts w:ascii="Open Sans" w:eastAsia="Open Sans" w:hAnsi="Open Sans" w:cs="Open Sans"/>
          <w:sz w:val="22"/>
          <w:szCs w:val="22"/>
        </w:rPr>
        <w:t>Explain to students the following guidelines for making their models.</w:t>
      </w:r>
    </w:p>
    <w:p w:rsidR="00C621A9" w:rsidRDefault="00A14A0E">
      <w:pPr>
        <w:numPr>
          <w:ilvl w:val="0"/>
          <w:numId w:val="1"/>
        </w:numPr>
        <w:rPr>
          <w:rFonts w:ascii="Open Sans" w:eastAsia="Open Sans" w:hAnsi="Open Sans" w:cs="Open Sans"/>
          <w:sz w:val="22"/>
          <w:szCs w:val="22"/>
        </w:rPr>
      </w:pPr>
      <w:r>
        <w:rPr>
          <w:rFonts w:ascii="Open Sans" w:eastAsia="Open Sans" w:hAnsi="Open Sans" w:cs="Open Sans"/>
          <w:sz w:val="22"/>
          <w:szCs w:val="22"/>
        </w:rPr>
        <w:t>First, they will draw the Lewis structure of their assigned molecule.</w:t>
      </w:r>
    </w:p>
    <w:p w:rsidR="00C621A9" w:rsidRDefault="00A14A0E">
      <w:pPr>
        <w:numPr>
          <w:ilvl w:val="0"/>
          <w:numId w:val="1"/>
        </w:numPr>
        <w:rPr>
          <w:rFonts w:ascii="Open Sans" w:eastAsia="Open Sans" w:hAnsi="Open Sans" w:cs="Open Sans"/>
          <w:sz w:val="22"/>
          <w:szCs w:val="22"/>
        </w:rPr>
      </w:pPr>
      <w:r>
        <w:rPr>
          <w:rFonts w:ascii="Open Sans" w:eastAsia="Open Sans" w:hAnsi="Open Sans" w:cs="Open Sans"/>
          <w:sz w:val="22"/>
          <w:szCs w:val="22"/>
        </w:rPr>
        <w:t xml:space="preserve">Next, they will use the table of </w:t>
      </w:r>
      <w:proofErr w:type="spellStart"/>
      <w:r>
        <w:rPr>
          <w:rFonts w:ascii="Open Sans" w:eastAsia="Open Sans" w:hAnsi="Open Sans" w:cs="Open Sans"/>
          <w:sz w:val="22"/>
          <w:szCs w:val="22"/>
        </w:rPr>
        <w:t>electronegativities</w:t>
      </w:r>
      <w:proofErr w:type="spellEnd"/>
      <w:r>
        <w:rPr>
          <w:rFonts w:ascii="Open Sans" w:eastAsia="Open Sans" w:hAnsi="Open Sans" w:cs="Open Sans"/>
          <w:sz w:val="22"/>
          <w:szCs w:val="22"/>
        </w:rPr>
        <w:t xml:space="preserve"> to determine whether each bond is polar or nonpolar.  </w:t>
      </w:r>
    </w:p>
    <w:p w:rsidR="00C621A9" w:rsidRDefault="00A14A0E">
      <w:pPr>
        <w:numPr>
          <w:ilvl w:val="1"/>
          <w:numId w:val="1"/>
        </w:numPr>
        <w:rPr>
          <w:rFonts w:ascii="Open Sans" w:eastAsia="Open Sans" w:hAnsi="Open Sans" w:cs="Open Sans"/>
          <w:sz w:val="22"/>
          <w:szCs w:val="22"/>
        </w:rPr>
      </w:pPr>
      <w:r>
        <w:rPr>
          <w:rFonts w:ascii="Open Sans" w:eastAsia="Open Sans" w:hAnsi="Open Sans" w:cs="Open Sans"/>
          <w:sz w:val="22"/>
          <w:szCs w:val="22"/>
        </w:rPr>
        <w:t xml:space="preserve">If the difference in electronegativity is less than or equal to 0.4, the bond is said to be nonpolar.  </w:t>
      </w:r>
    </w:p>
    <w:p w:rsidR="00C621A9" w:rsidRDefault="00A14A0E">
      <w:pPr>
        <w:numPr>
          <w:ilvl w:val="1"/>
          <w:numId w:val="1"/>
        </w:numPr>
        <w:rPr>
          <w:rFonts w:ascii="Open Sans" w:eastAsia="Open Sans" w:hAnsi="Open Sans" w:cs="Open Sans"/>
          <w:sz w:val="22"/>
          <w:szCs w:val="22"/>
        </w:rPr>
      </w:pPr>
      <w:r>
        <w:rPr>
          <w:rFonts w:ascii="Open Sans" w:eastAsia="Open Sans" w:hAnsi="Open Sans" w:cs="Open Sans"/>
          <w:sz w:val="22"/>
          <w:szCs w:val="22"/>
        </w:rPr>
        <w:t>If the difference in electronegativity is greater than 0.4, the bond is said to be polar.</w:t>
      </w:r>
    </w:p>
    <w:p w:rsidR="00C621A9" w:rsidRDefault="00A14A0E">
      <w:pPr>
        <w:numPr>
          <w:ilvl w:val="0"/>
          <w:numId w:val="1"/>
        </w:numPr>
        <w:rPr>
          <w:rFonts w:ascii="Open Sans" w:eastAsia="Open Sans" w:hAnsi="Open Sans" w:cs="Open Sans"/>
          <w:sz w:val="22"/>
          <w:szCs w:val="22"/>
        </w:rPr>
      </w:pPr>
      <w:r>
        <w:rPr>
          <w:rFonts w:ascii="Open Sans" w:eastAsia="Open Sans" w:hAnsi="Open Sans" w:cs="Open Sans"/>
          <w:sz w:val="22"/>
          <w:szCs w:val="22"/>
        </w:rPr>
        <w:t>Polar bonds are represented by using yellow toothpicks to connect the atoms.</w:t>
      </w:r>
    </w:p>
    <w:p w:rsidR="00C621A9" w:rsidRDefault="00A14A0E">
      <w:pPr>
        <w:numPr>
          <w:ilvl w:val="0"/>
          <w:numId w:val="1"/>
        </w:numPr>
        <w:rPr>
          <w:rFonts w:ascii="Open Sans" w:eastAsia="Open Sans" w:hAnsi="Open Sans" w:cs="Open Sans"/>
          <w:sz w:val="22"/>
          <w:szCs w:val="22"/>
        </w:rPr>
      </w:pPr>
      <w:r>
        <w:rPr>
          <w:rFonts w:ascii="Open Sans" w:eastAsia="Open Sans" w:hAnsi="Open Sans" w:cs="Open Sans"/>
          <w:sz w:val="22"/>
          <w:szCs w:val="22"/>
        </w:rPr>
        <w:t>Nonpolar bonds are represented by using blue toothpicks to connect the atoms.</w:t>
      </w:r>
    </w:p>
    <w:p w:rsidR="00C621A9" w:rsidRDefault="00A14A0E">
      <w:pPr>
        <w:numPr>
          <w:ilvl w:val="0"/>
          <w:numId w:val="1"/>
        </w:numPr>
        <w:rPr>
          <w:rFonts w:ascii="Open Sans" w:eastAsia="Open Sans" w:hAnsi="Open Sans" w:cs="Open Sans"/>
          <w:sz w:val="22"/>
          <w:szCs w:val="22"/>
        </w:rPr>
      </w:pPr>
      <w:r>
        <w:rPr>
          <w:rFonts w:ascii="Open Sans" w:eastAsia="Open Sans" w:hAnsi="Open Sans" w:cs="Open Sans"/>
          <w:sz w:val="22"/>
          <w:szCs w:val="22"/>
        </w:rPr>
        <w:t>Each element should be represented by a different color of gumdrop.</w:t>
      </w:r>
    </w:p>
    <w:p w:rsidR="00C621A9" w:rsidRDefault="00A14A0E">
      <w:pPr>
        <w:numPr>
          <w:ilvl w:val="0"/>
          <w:numId w:val="1"/>
        </w:numPr>
        <w:rPr>
          <w:rFonts w:ascii="Open Sans" w:eastAsia="Open Sans" w:hAnsi="Open Sans" w:cs="Open Sans"/>
          <w:sz w:val="22"/>
          <w:szCs w:val="22"/>
        </w:rPr>
      </w:pPr>
      <w:r>
        <w:rPr>
          <w:rFonts w:ascii="Open Sans" w:eastAsia="Open Sans" w:hAnsi="Open Sans" w:cs="Open Sans"/>
          <w:sz w:val="22"/>
          <w:szCs w:val="22"/>
        </w:rPr>
        <w:t>Lone pairs, or nonbonding electrons, are represented by a marshmallow, connected with a plain toothpick.</w:t>
      </w:r>
    </w:p>
    <w:p w:rsidR="00C621A9" w:rsidRDefault="00A14A0E">
      <w:pPr>
        <w:numPr>
          <w:ilvl w:val="0"/>
          <w:numId w:val="1"/>
        </w:numPr>
        <w:rPr>
          <w:rFonts w:ascii="Open Sans" w:eastAsia="Open Sans" w:hAnsi="Open Sans" w:cs="Open Sans"/>
          <w:sz w:val="22"/>
          <w:szCs w:val="22"/>
        </w:rPr>
      </w:pPr>
      <w:r>
        <w:rPr>
          <w:rFonts w:ascii="Open Sans" w:eastAsia="Open Sans" w:hAnsi="Open Sans" w:cs="Open Sans"/>
          <w:sz w:val="22"/>
          <w:szCs w:val="22"/>
        </w:rPr>
        <w:t>To save toothpicks, have the students break each toothpick in half.  This cuts down on toothpicks and adds structural stability to the models.</w:t>
      </w:r>
    </w:p>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sz w:val="22"/>
          <w:szCs w:val="22"/>
        </w:rPr>
      </w:pPr>
      <w:r>
        <w:rPr>
          <w:rFonts w:ascii="Open Sans" w:eastAsia="Open Sans" w:hAnsi="Open Sans" w:cs="Open Sans"/>
          <w:sz w:val="22"/>
          <w:szCs w:val="22"/>
        </w:rPr>
        <w:t>At this time, give each group two slips of paper cut from the table below.  Give each group one polar compound and one nonpolar compound.  Cut these into individual slips so that it isn’t quite so obvious to students that the polar one is first and the nonpolar one is second.</w:t>
      </w:r>
    </w:p>
    <w:p w:rsidR="00C621A9" w:rsidRDefault="00C621A9">
      <w:pPr>
        <w:rPr>
          <w:rFonts w:ascii="Open Sans" w:eastAsia="Open Sans" w:hAnsi="Open Sans" w:cs="Open Sans"/>
          <w:sz w:val="22"/>
          <w:szCs w:val="22"/>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621A9">
        <w:tc>
          <w:tcPr>
            <w:tcW w:w="4680" w:type="dxa"/>
            <w:shd w:val="clear" w:color="auto" w:fill="auto"/>
            <w:tcMar>
              <w:top w:w="100" w:type="dxa"/>
              <w:left w:w="100" w:type="dxa"/>
              <w:bottom w:w="100" w:type="dxa"/>
              <w:right w:w="100" w:type="dxa"/>
            </w:tcMar>
          </w:tcPr>
          <w:p w:rsidR="00C621A9" w:rsidRDefault="00A14A0E">
            <w:pPr>
              <w:widowControl w:val="0"/>
              <w:pBdr>
                <w:top w:val="nil"/>
                <w:left w:val="nil"/>
                <w:bottom w:val="nil"/>
                <w:right w:val="nil"/>
                <w:between w:val="nil"/>
              </w:pBdr>
              <w:spacing w:line="240" w:lineRule="auto"/>
              <w:jc w:val="center"/>
              <w:rPr>
                <w:rFonts w:ascii="Open Sans" w:eastAsia="Open Sans" w:hAnsi="Open Sans" w:cs="Open Sans"/>
                <w:b/>
                <w:sz w:val="22"/>
                <w:szCs w:val="22"/>
              </w:rPr>
            </w:pPr>
            <w:r>
              <w:rPr>
                <w:rFonts w:ascii="Open Sans" w:eastAsia="Open Sans" w:hAnsi="Open Sans" w:cs="Open Sans"/>
                <w:b/>
                <w:sz w:val="22"/>
                <w:szCs w:val="22"/>
              </w:rPr>
              <w:t>Polar Compounds</w:t>
            </w:r>
          </w:p>
        </w:tc>
        <w:tc>
          <w:tcPr>
            <w:tcW w:w="4680" w:type="dxa"/>
            <w:shd w:val="clear" w:color="auto" w:fill="auto"/>
            <w:tcMar>
              <w:top w:w="100" w:type="dxa"/>
              <w:left w:w="100" w:type="dxa"/>
              <w:bottom w:w="100" w:type="dxa"/>
              <w:right w:w="100" w:type="dxa"/>
            </w:tcMar>
          </w:tcPr>
          <w:p w:rsidR="00C621A9" w:rsidRDefault="00A14A0E">
            <w:pPr>
              <w:widowControl w:val="0"/>
              <w:pBdr>
                <w:top w:val="nil"/>
                <w:left w:val="nil"/>
                <w:bottom w:val="nil"/>
                <w:right w:val="nil"/>
                <w:between w:val="nil"/>
              </w:pBdr>
              <w:spacing w:line="240" w:lineRule="auto"/>
              <w:jc w:val="center"/>
              <w:rPr>
                <w:rFonts w:ascii="Open Sans" w:eastAsia="Open Sans" w:hAnsi="Open Sans" w:cs="Open Sans"/>
                <w:b/>
                <w:sz w:val="22"/>
                <w:szCs w:val="22"/>
              </w:rPr>
            </w:pPr>
            <w:r>
              <w:rPr>
                <w:rFonts w:ascii="Open Sans" w:eastAsia="Open Sans" w:hAnsi="Open Sans" w:cs="Open Sans"/>
                <w:b/>
                <w:sz w:val="22"/>
                <w:szCs w:val="22"/>
              </w:rPr>
              <w:t>Nonpolar Compounds</w:t>
            </w:r>
          </w:p>
        </w:tc>
      </w:tr>
      <w:tr w:rsidR="00C621A9">
        <w:tc>
          <w:tcPr>
            <w:tcW w:w="4680" w:type="dxa"/>
            <w:shd w:val="clear" w:color="auto" w:fill="auto"/>
            <w:tcMar>
              <w:top w:w="100" w:type="dxa"/>
              <w:left w:w="100" w:type="dxa"/>
              <w:bottom w:w="100" w:type="dxa"/>
              <w:right w:w="100" w:type="dxa"/>
            </w:tcMar>
          </w:tcPr>
          <w:p w:rsidR="00C621A9" w:rsidRDefault="00A14A0E">
            <w:pPr>
              <w:widowControl w:val="0"/>
              <w:spacing w:line="240" w:lineRule="auto"/>
              <w:rPr>
                <w:rFonts w:ascii="Open Sans" w:eastAsia="Open Sans" w:hAnsi="Open Sans" w:cs="Open Sans"/>
                <w:sz w:val="22"/>
                <w:szCs w:val="22"/>
                <w:vertAlign w:val="subscript"/>
              </w:rPr>
            </w:pPr>
            <w:r>
              <w:rPr>
                <w:rFonts w:ascii="Open Sans" w:eastAsia="Open Sans" w:hAnsi="Open Sans" w:cs="Open Sans"/>
                <w:sz w:val="22"/>
                <w:szCs w:val="22"/>
              </w:rPr>
              <w:lastRenderedPageBreak/>
              <w:t>CH</w:t>
            </w:r>
            <w:r>
              <w:rPr>
                <w:rFonts w:ascii="Open Sans" w:eastAsia="Open Sans" w:hAnsi="Open Sans" w:cs="Open Sans"/>
                <w:sz w:val="22"/>
                <w:szCs w:val="22"/>
                <w:vertAlign w:val="subscript"/>
              </w:rPr>
              <w:t>2</w:t>
            </w:r>
            <w:r>
              <w:rPr>
                <w:rFonts w:ascii="Open Sans" w:eastAsia="Open Sans" w:hAnsi="Open Sans" w:cs="Open Sans"/>
                <w:sz w:val="22"/>
                <w:szCs w:val="22"/>
              </w:rPr>
              <w:t>O</w:t>
            </w:r>
          </w:p>
        </w:tc>
        <w:tc>
          <w:tcPr>
            <w:tcW w:w="4680" w:type="dxa"/>
            <w:shd w:val="clear" w:color="auto" w:fill="auto"/>
            <w:tcMar>
              <w:top w:w="100" w:type="dxa"/>
              <w:left w:w="100" w:type="dxa"/>
              <w:bottom w:w="100" w:type="dxa"/>
              <w:right w:w="100" w:type="dxa"/>
            </w:tcMar>
          </w:tcPr>
          <w:p w:rsidR="00C621A9" w:rsidRDefault="00A14A0E">
            <w:pPr>
              <w:widowControl w:val="0"/>
              <w:pBdr>
                <w:top w:val="nil"/>
                <w:left w:val="nil"/>
                <w:bottom w:val="nil"/>
                <w:right w:val="nil"/>
                <w:between w:val="nil"/>
              </w:pBdr>
              <w:spacing w:line="240" w:lineRule="auto"/>
              <w:rPr>
                <w:rFonts w:ascii="Open Sans" w:eastAsia="Open Sans" w:hAnsi="Open Sans" w:cs="Open Sans"/>
                <w:sz w:val="22"/>
                <w:szCs w:val="22"/>
                <w:vertAlign w:val="subscript"/>
              </w:rPr>
            </w:pPr>
            <w:r>
              <w:rPr>
                <w:rFonts w:ascii="Open Sans" w:eastAsia="Open Sans" w:hAnsi="Open Sans" w:cs="Open Sans"/>
                <w:sz w:val="22"/>
                <w:szCs w:val="22"/>
              </w:rPr>
              <w:t>CH</w:t>
            </w:r>
            <w:r>
              <w:rPr>
                <w:rFonts w:ascii="Open Sans" w:eastAsia="Open Sans" w:hAnsi="Open Sans" w:cs="Open Sans"/>
                <w:sz w:val="22"/>
                <w:szCs w:val="22"/>
                <w:vertAlign w:val="subscript"/>
              </w:rPr>
              <w:t>4</w:t>
            </w:r>
          </w:p>
        </w:tc>
      </w:tr>
      <w:tr w:rsidR="00C621A9">
        <w:tc>
          <w:tcPr>
            <w:tcW w:w="4680" w:type="dxa"/>
            <w:shd w:val="clear" w:color="auto" w:fill="auto"/>
            <w:tcMar>
              <w:top w:w="100" w:type="dxa"/>
              <w:left w:w="100" w:type="dxa"/>
              <w:bottom w:w="100" w:type="dxa"/>
              <w:right w:w="100" w:type="dxa"/>
            </w:tcMar>
          </w:tcPr>
          <w:p w:rsidR="00C621A9" w:rsidRDefault="00A14A0E">
            <w:pPr>
              <w:widowControl w:val="0"/>
              <w:pBdr>
                <w:top w:val="nil"/>
                <w:left w:val="nil"/>
                <w:bottom w:val="nil"/>
                <w:right w:val="nil"/>
                <w:between w:val="nil"/>
              </w:pBdr>
              <w:spacing w:line="240" w:lineRule="auto"/>
              <w:rPr>
                <w:rFonts w:ascii="Open Sans" w:eastAsia="Open Sans" w:hAnsi="Open Sans" w:cs="Open Sans"/>
                <w:sz w:val="22"/>
                <w:szCs w:val="22"/>
                <w:vertAlign w:val="subscript"/>
              </w:rPr>
            </w:pPr>
            <w:r>
              <w:rPr>
                <w:rFonts w:ascii="Open Sans" w:eastAsia="Open Sans" w:hAnsi="Open Sans" w:cs="Open Sans"/>
                <w:sz w:val="22"/>
                <w:szCs w:val="22"/>
              </w:rPr>
              <w:t>CF</w:t>
            </w:r>
            <w:r>
              <w:rPr>
                <w:rFonts w:ascii="Open Sans" w:eastAsia="Open Sans" w:hAnsi="Open Sans" w:cs="Open Sans"/>
                <w:sz w:val="22"/>
                <w:szCs w:val="22"/>
                <w:vertAlign w:val="subscript"/>
              </w:rPr>
              <w:t>2</w:t>
            </w:r>
            <w:r>
              <w:rPr>
                <w:rFonts w:ascii="Open Sans" w:eastAsia="Open Sans" w:hAnsi="Open Sans" w:cs="Open Sans"/>
                <w:sz w:val="22"/>
                <w:szCs w:val="22"/>
              </w:rPr>
              <w:t>H</w:t>
            </w:r>
            <w:r>
              <w:rPr>
                <w:rFonts w:ascii="Open Sans" w:eastAsia="Open Sans" w:hAnsi="Open Sans" w:cs="Open Sans"/>
                <w:sz w:val="22"/>
                <w:szCs w:val="22"/>
                <w:vertAlign w:val="subscript"/>
              </w:rPr>
              <w:t>2</w:t>
            </w:r>
          </w:p>
        </w:tc>
        <w:tc>
          <w:tcPr>
            <w:tcW w:w="4680" w:type="dxa"/>
            <w:shd w:val="clear" w:color="auto" w:fill="auto"/>
            <w:tcMar>
              <w:top w:w="100" w:type="dxa"/>
              <w:left w:w="100" w:type="dxa"/>
              <w:bottom w:w="100" w:type="dxa"/>
              <w:right w:w="100" w:type="dxa"/>
            </w:tcMar>
          </w:tcPr>
          <w:p w:rsidR="00C621A9" w:rsidRDefault="00A14A0E">
            <w:pPr>
              <w:widowControl w:val="0"/>
              <w:pBdr>
                <w:top w:val="nil"/>
                <w:left w:val="nil"/>
                <w:bottom w:val="nil"/>
                <w:right w:val="nil"/>
                <w:between w:val="nil"/>
              </w:pBdr>
              <w:spacing w:line="240" w:lineRule="auto"/>
              <w:rPr>
                <w:rFonts w:ascii="Open Sans" w:eastAsia="Open Sans" w:hAnsi="Open Sans" w:cs="Open Sans"/>
                <w:sz w:val="22"/>
                <w:szCs w:val="22"/>
                <w:vertAlign w:val="subscript"/>
              </w:rPr>
            </w:pPr>
            <w:r>
              <w:rPr>
                <w:rFonts w:ascii="Open Sans" w:eastAsia="Open Sans" w:hAnsi="Open Sans" w:cs="Open Sans"/>
                <w:sz w:val="22"/>
                <w:szCs w:val="22"/>
              </w:rPr>
              <w:t>CCl</w:t>
            </w:r>
            <w:r>
              <w:rPr>
                <w:rFonts w:ascii="Open Sans" w:eastAsia="Open Sans" w:hAnsi="Open Sans" w:cs="Open Sans"/>
                <w:sz w:val="22"/>
                <w:szCs w:val="22"/>
                <w:vertAlign w:val="subscript"/>
              </w:rPr>
              <w:t>4</w:t>
            </w:r>
          </w:p>
        </w:tc>
      </w:tr>
      <w:tr w:rsidR="00C621A9">
        <w:tc>
          <w:tcPr>
            <w:tcW w:w="4680" w:type="dxa"/>
            <w:shd w:val="clear" w:color="auto" w:fill="auto"/>
            <w:tcMar>
              <w:top w:w="100" w:type="dxa"/>
              <w:left w:w="100" w:type="dxa"/>
              <w:bottom w:w="100" w:type="dxa"/>
              <w:right w:w="100" w:type="dxa"/>
            </w:tcMar>
          </w:tcPr>
          <w:p w:rsidR="00C621A9" w:rsidRDefault="00A14A0E">
            <w:pPr>
              <w:widowControl w:val="0"/>
              <w:pBdr>
                <w:top w:val="nil"/>
                <w:left w:val="nil"/>
                <w:bottom w:val="nil"/>
                <w:right w:val="nil"/>
                <w:between w:val="nil"/>
              </w:pBdr>
              <w:spacing w:line="240" w:lineRule="auto"/>
              <w:rPr>
                <w:rFonts w:ascii="Open Sans" w:eastAsia="Open Sans" w:hAnsi="Open Sans" w:cs="Open Sans"/>
                <w:sz w:val="22"/>
                <w:szCs w:val="22"/>
              </w:rPr>
            </w:pPr>
            <w:r>
              <w:rPr>
                <w:rFonts w:ascii="Open Sans" w:eastAsia="Open Sans" w:hAnsi="Open Sans" w:cs="Open Sans"/>
                <w:sz w:val="22"/>
                <w:szCs w:val="22"/>
              </w:rPr>
              <w:t>HCN</w:t>
            </w:r>
          </w:p>
        </w:tc>
        <w:tc>
          <w:tcPr>
            <w:tcW w:w="4680" w:type="dxa"/>
            <w:shd w:val="clear" w:color="auto" w:fill="auto"/>
            <w:tcMar>
              <w:top w:w="100" w:type="dxa"/>
              <w:left w:w="100" w:type="dxa"/>
              <w:bottom w:w="100" w:type="dxa"/>
              <w:right w:w="100" w:type="dxa"/>
            </w:tcMar>
          </w:tcPr>
          <w:p w:rsidR="00C621A9" w:rsidRDefault="00A14A0E">
            <w:pPr>
              <w:widowControl w:val="0"/>
              <w:pBdr>
                <w:top w:val="nil"/>
                <w:left w:val="nil"/>
                <w:bottom w:val="nil"/>
                <w:right w:val="nil"/>
                <w:between w:val="nil"/>
              </w:pBdr>
              <w:spacing w:line="240" w:lineRule="auto"/>
              <w:rPr>
                <w:rFonts w:ascii="Open Sans" w:eastAsia="Open Sans" w:hAnsi="Open Sans" w:cs="Open Sans"/>
                <w:sz w:val="22"/>
                <w:szCs w:val="22"/>
                <w:vertAlign w:val="subscript"/>
              </w:rPr>
            </w:pPr>
            <w:r>
              <w:rPr>
                <w:rFonts w:ascii="Open Sans" w:eastAsia="Open Sans" w:hAnsi="Open Sans" w:cs="Open Sans"/>
                <w:sz w:val="22"/>
                <w:szCs w:val="22"/>
              </w:rPr>
              <w:t>CO</w:t>
            </w:r>
            <w:r>
              <w:rPr>
                <w:rFonts w:ascii="Open Sans" w:eastAsia="Open Sans" w:hAnsi="Open Sans" w:cs="Open Sans"/>
                <w:sz w:val="22"/>
                <w:szCs w:val="22"/>
                <w:vertAlign w:val="subscript"/>
              </w:rPr>
              <w:t>2</w:t>
            </w:r>
          </w:p>
        </w:tc>
      </w:tr>
      <w:tr w:rsidR="00C621A9">
        <w:tc>
          <w:tcPr>
            <w:tcW w:w="4680" w:type="dxa"/>
            <w:shd w:val="clear" w:color="auto" w:fill="auto"/>
            <w:tcMar>
              <w:top w:w="100" w:type="dxa"/>
              <w:left w:w="100" w:type="dxa"/>
              <w:bottom w:w="100" w:type="dxa"/>
              <w:right w:w="100" w:type="dxa"/>
            </w:tcMar>
          </w:tcPr>
          <w:p w:rsidR="00C621A9" w:rsidRDefault="00A14A0E">
            <w:pPr>
              <w:widowControl w:val="0"/>
              <w:pBdr>
                <w:top w:val="nil"/>
                <w:left w:val="nil"/>
                <w:bottom w:val="nil"/>
                <w:right w:val="nil"/>
                <w:between w:val="nil"/>
              </w:pBdr>
              <w:spacing w:line="240" w:lineRule="auto"/>
              <w:rPr>
                <w:rFonts w:ascii="Open Sans" w:eastAsia="Open Sans" w:hAnsi="Open Sans" w:cs="Open Sans"/>
                <w:sz w:val="22"/>
                <w:szCs w:val="22"/>
                <w:vertAlign w:val="subscript"/>
              </w:rPr>
            </w:pPr>
            <w:r>
              <w:rPr>
                <w:rFonts w:ascii="Open Sans" w:eastAsia="Open Sans" w:hAnsi="Open Sans" w:cs="Open Sans"/>
                <w:sz w:val="22"/>
                <w:szCs w:val="22"/>
              </w:rPr>
              <w:t>NCl</w:t>
            </w:r>
            <w:r>
              <w:rPr>
                <w:rFonts w:ascii="Open Sans" w:eastAsia="Open Sans" w:hAnsi="Open Sans" w:cs="Open Sans"/>
                <w:sz w:val="22"/>
                <w:szCs w:val="22"/>
                <w:vertAlign w:val="subscript"/>
              </w:rPr>
              <w:t>3</w:t>
            </w:r>
          </w:p>
        </w:tc>
        <w:tc>
          <w:tcPr>
            <w:tcW w:w="4680" w:type="dxa"/>
            <w:shd w:val="clear" w:color="auto" w:fill="auto"/>
            <w:tcMar>
              <w:top w:w="100" w:type="dxa"/>
              <w:left w:w="100" w:type="dxa"/>
              <w:bottom w:w="100" w:type="dxa"/>
              <w:right w:w="100" w:type="dxa"/>
            </w:tcMar>
          </w:tcPr>
          <w:p w:rsidR="00C621A9" w:rsidRDefault="00A14A0E">
            <w:pPr>
              <w:widowControl w:val="0"/>
              <w:pBdr>
                <w:top w:val="nil"/>
                <w:left w:val="nil"/>
                <w:bottom w:val="nil"/>
                <w:right w:val="nil"/>
                <w:between w:val="nil"/>
              </w:pBdr>
              <w:spacing w:line="240" w:lineRule="auto"/>
              <w:rPr>
                <w:rFonts w:ascii="Open Sans" w:eastAsia="Open Sans" w:hAnsi="Open Sans" w:cs="Open Sans"/>
                <w:sz w:val="22"/>
                <w:szCs w:val="22"/>
                <w:vertAlign w:val="subscript"/>
              </w:rPr>
            </w:pPr>
            <w:r>
              <w:rPr>
                <w:rFonts w:ascii="Open Sans" w:eastAsia="Open Sans" w:hAnsi="Open Sans" w:cs="Open Sans"/>
                <w:sz w:val="22"/>
                <w:szCs w:val="22"/>
              </w:rPr>
              <w:t>CF</w:t>
            </w:r>
            <w:r>
              <w:rPr>
                <w:rFonts w:ascii="Open Sans" w:eastAsia="Open Sans" w:hAnsi="Open Sans" w:cs="Open Sans"/>
                <w:sz w:val="22"/>
                <w:szCs w:val="22"/>
                <w:vertAlign w:val="subscript"/>
              </w:rPr>
              <w:t>4</w:t>
            </w:r>
          </w:p>
        </w:tc>
      </w:tr>
      <w:tr w:rsidR="00C621A9">
        <w:tc>
          <w:tcPr>
            <w:tcW w:w="4680" w:type="dxa"/>
            <w:shd w:val="clear" w:color="auto" w:fill="auto"/>
            <w:tcMar>
              <w:top w:w="100" w:type="dxa"/>
              <w:left w:w="100" w:type="dxa"/>
              <w:bottom w:w="100" w:type="dxa"/>
              <w:right w:w="100" w:type="dxa"/>
            </w:tcMar>
          </w:tcPr>
          <w:p w:rsidR="00C621A9" w:rsidRDefault="00A14A0E">
            <w:pPr>
              <w:widowControl w:val="0"/>
              <w:pBdr>
                <w:top w:val="nil"/>
                <w:left w:val="nil"/>
                <w:bottom w:val="nil"/>
                <w:right w:val="nil"/>
                <w:between w:val="nil"/>
              </w:pBdr>
              <w:spacing w:line="240" w:lineRule="auto"/>
              <w:rPr>
                <w:rFonts w:ascii="Open Sans" w:eastAsia="Open Sans" w:hAnsi="Open Sans" w:cs="Open Sans"/>
                <w:sz w:val="22"/>
                <w:szCs w:val="22"/>
                <w:vertAlign w:val="subscript"/>
              </w:rPr>
            </w:pPr>
            <w:r>
              <w:rPr>
                <w:rFonts w:ascii="Open Sans" w:eastAsia="Open Sans" w:hAnsi="Open Sans" w:cs="Open Sans"/>
                <w:sz w:val="22"/>
                <w:szCs w:val="22"/>
              </w:rPr>
              <w:t>SO</w:t>
            </w:r>
            <w:r>
              <w:rPr>
                <w:rFonts w:ascii="Open Sans" w:eastAsia="Open Sans" w:hAnsi="Open Sans" w:cs="Open Sans"/>
                <w:sz w:val="22"/>
                <w:szCs w:val="22"/>
                <w:vertAlign w:val="subscript"/>
              </w:rPr>
              <w:t>2</w:t>
            </w:r>
          </w:p>
        </w:tc>
        <w:tc>
          <w:tcPr>
            <w:tcW w:w="4680" w:type="dxa"/>
            <w:shd w:val="clear" w:color="auto" w:fill="auto"/>
            <w:tcMar>
              <w:top w:w="100" w:type="dxa"/>
              <w:left w:w="100" w:type="dxa"/>
              <w:bottom w:w="100" w:type="dxa"/>
              <w:right w:w="100" w:type="dxa"/>
            </w:tcMar>
          </w:tcPr>
          <w:p w:rsidR="00C621A9" w:rsidRDefault="00A14A0E">
            <w:pPr>
              <w:widowControl w:val="0"/>
              <w:pBdr>
                <w:top w:val="nil"/>
                <w:left w:val="nil"/>
                <w:bottom w:val="nil"/>
                <w:right w:val="nil"/>
                <w:between w:val="nil"/>
              </w:pBdr>
              <w:spacing w:line="240" w:lineRule="auto"/>
              <w:rPr>
                <w:rFonts w:ascii="Open Sans" w:eastAsia="Open Sans" w:hAnsi="Open Sans" w:cs="Open Sans"/>
                <w:sz w:val="22"/>
                <w:szCs w:val="22"/>
                <w:vertAlign w:val="subscript"/>
              </w:rPr>
            </w:pPr>
            <w:r>
              <w:rPr>
                <w:rFonts w:ascii="Open Sans" w:eastAsia="Open Sans" w:hAnsi="Open Sans" w:cs="Open Sans"/>
                <w:sz w:val="22"/>
                <w:szCs w:val="22"/>
              </w:rPr>
              <w:t>CBr</w:t>
            </w:r>
            <w:r>
              <w:rPr>
                <w:rFonts w:ascii="Open Sans" w:eastAsia="Open Sans" w:hAnsi="Open Sans" w:cs="Open Sans"/>
                <w:sz w:val="22"/>
                <w:szCs w:val="22"/>
                <w:vertAlign w:val="subscript"/>
              </w:rPr>
              <w:t>4</w:t>
            </w:r>
          </w:p>
        </w:tc>
      </w:tr>
      <w:tr w:rsidR="00C621A9">
        <w:tc>
          <w:tcPr>
            <w:tcW w:w="4680" w:type="dxa"/>
            <w:shd w:val="clear" w:color="auto" w:fill="auto"/>
            <w:tcMar>
              <w:top w:w="100" w:type="dxa"/>
              <w:left w:w="100" w:type="dxa"/>
              <w:bottom w:w="100" w:type="dxa"/>
              <w:right w:w="100" w:type="dxa"/>
            </w:tcMar>
          </w:tcPr>
          <w:p w:rsidR="00C621A9" w:rsidRDefault="00A14A0E">
            <w:pPr>
              <w:widowControl w:val="0"/>
              <w:pBdr>
                <w:top w:val="nil"/>
                <w:left w:val="nil"/>
                <w:bottom w:val="nil"/>
                <w:right w:val="nil"/>
                <w:between w:val="nil"/>
              </w:pBdr>
              <w:spacing w:line="240" w:lineRule="auto"/>
              <w:rPr>
                <w:rFonts w:ascii="Open Sans" w:eastAsia="Open Sans" w:hAnsi="Open Sans" w:cs="Open Sans"/>
                <w:sz w:val="22"/>
                <w:szCs w:val="22"/>
              </w:rPr>
            </w:pPr>
            <w:r>
              <w:rPr>
                <w:rFonts w:ascii="Open Sans" w:eastAsia="Open Sans" w:hAnsi="Open Sans" w:cs="Open Sans"/>
                <w:sz w:val="22"/>
                <w:szCs w:val="22"/>
              </w:rPr>
              <w:t>H</w:t>
            </w:r>
            <w:r>
              <w:rPr>
                <w:rFonts w:ascii="Open Sans" w:eastAsia="Open Sans" w:hAnsi="Open Sans" w:cs="Open Sans"/>
                <w:sz w:val="22"/>
                <w:szCs w:val="22"/>
                <w:vertAlign w:val="subscript"/>
              </w:rPr>
              <w:t>2</w:t>
            </w:r>
            <w:r>
              <w:rPr>
                <w:rFonts w:ascii="Open Sans" w:eastAsia="Open Sans" w:hAnsi="Open Sans" w:cs="Open Sans"/>
                <w:sz w:val="22"/>
                <w:szCs w:val="22"/>
              </w:rPr>
              <w:t>O</w:t>
            </w:r>
          </w:p>
        </w:tc>
        <w:tc>
          <w:tcPr>
            <w:tcW w:w="4680" w:type="dxa"/>
            <w:shd w:val="clear" w:color="auto" w:fill="auto"/>
            <w:tcMar>
              <w:top w:w="100" w:type="dxa"/>
              <w:left w:w="100" w:type="dxa"/>
              <w:bottom w:w="100" w:type="dxa"/>
              <w:right w:w="100" w:type="dxa"/>
            </w:tcMar>
          </w:tcPr>
          <w:p w:rsidR="00C621A9" w:rsidRDefault="00A14A0E">
            <w:pPr>
              <w:widowControl w:val="0"/>
              <w:spacing w:line="240" w:lineRule="auto"/>
              <w:rPr>
                <w:rFonts w:ascii="Open Sans" w:eastAsia="Open Sans" w:hAnsi="Open Sans" w:cs="Open Sans"/>
                <w:sz w:val="22"/>
                <w:szCs w:val="22"/>
                <w:vertAlign w:val="subscript"/>
              </w:rPr>
            </w:pPr>
            <w:r>
              <w:rPr>
                <w:rFonts w:ascii="Open Sans" w:eastAsia="Open Sans" w:hAnsi="Open Sans" w:cs="Open Sans"/>
                <w:sz w:val="22"/>
                <w:szCs w:val="22"/>
              </w:rPr>
              <w:t>CH</w:t>
            </w:r>
            <w:r>
              <w:rPr>
                <w:rFonts w:ascii="Open Sans" w:eastAsia="Open Sans" w:hAnsi="Open Sans" w:cs="Open Sans"/>
                <w:sz w:val="22"/>
                <w:szCs w:val="22"/>
                <w:vertAlign w:val="subscript"/>
              </w:rPr>
              <w:t>4</w:t>
            </w:r>
          </w:p>
        </w:tc>
      </w:tr>
      <w:tr w:rsidR="00C621A9">
        <w:tc>
          <w:tcPr>
            <w:tcW w:w="4680" w:type="dxa"/>
            <w:shd w:val="clear" w:color="auto" w:fill="auto"/>
            <w:tcMar>
              <w:top w:w="100" w:type="dxa"/>
              <w:left w:w="100" w:type="dxa"/>
              <w:bottom w:w="100" w:type="dxa"/>
              <w:right w:w="100" w:type="dxa"/>
            </w:tcMar>
          </w:tcPr>
          <w:p w:rsidR="00C621A9" w:rsidRDefault="00A14A0E">
            <w:pPr>
              <w:widowControl w:val="0"/>
              <w:spacing w:line="240" w:lineRule="auto"/>
              <w:rPr>
                <w:rFonts w:ascii="Open Sans" w:eastAsia="Open Sans" w:hAnsi="Open Sans" w:cs="Open Sans"/>
                <w:sz w:val="22"/>
                <w:szCs w:val="22"/>
              </w:rPr>
            </w:pPr>
            <w:r>
              <w:rPr>
                <w:rFonts w:ascii="Open Sans" w:eastAsia="Open Sans" w:hAnsi="Open Sans" w:cs="Open Sans"/>
                <w:sz w:val="22"/>
                <w:szCs w:val="22"/>
              </w:rPr>
              <w:t>CH</w:t>
            </w:r>
            <w:r>
              <w:rPr>
                <w:rFonts w:ascii="Open Sans" w:eastAsia="Open Sans" w:hAnsi="Open Sans" w:cs="Open Sans"/>
                <w:sz w:val="22"/>
                <w:szCs w:val="22"/>
                <w:vertAlign w:val="subscript"/>
              </w:rPr>
              <w:t>2</w:t>
            </w:r>
            <w:r>
              <w:rPr>
                <w:rFonts w:ascii="Open Sans" w:eastAsia="Open Sans" w:hAnsi="Open Sans" w:cs="Open Sans"/>
                <w:sz w:val="22"/>
                <w:szCs w:val="22"/>
              </w:rPr>
              <w:t>O</w:t>
            </w:r>
          </w:p>
        </w:tc>
        <w:tc>
          <w:tcPr>
            <w:tcW w:w="4680" w:type="dxa"/>
            <w:shd w:val="clear" w:color="auto" w:fill="auto"/>
            <w:tcMar>
              <w:top w:w="100" w:type="dxa"/>
              <w:left w:w="100" w:type="dxa"/>
              <w:bottom w:w="100" w:type="dxa"/>
              <w:right w:w="100" w:type="dxa"/>
            </w:tcMar>
          </w:tcPr>
          <w:p w:rsidR="00C621A9" w:rsidRDefault="00A14A0E">
            <w:pPr>
              <w:widowControl w:val="0"/>
              <w:spacing w:line="240" w:lineRule="auto"/>
              <w:rPr>
                <w:rFonts w:ascii="Open Sans" w:eastAsia="Open Sans" w:hAnsi="Open Sans" w:cs="Open Sans"/>
                <w:sz w:val="22"/>
                <w:szCs w:val="22"/>
                <w:vertAlign w:val="subscript"/>
              </w:rPr>
            </w:pPr>
            <w:r>
              <w:rPr>
                <w:rFonts w:ascii="Open Sans" w:eastAsia="Open Sans" w:hAnsi="Open Sans" w:cs="Open Sans"/>
                <w:sz w:val="22"/>
                <w:szCs w:val="22"/>
              </w:rPr>
              <w:t>CCl</w:t>
            </w:r>
            <w:r>
              <w:rPr>
                <w:rFonts w:ascii="Open Sans" w:eastAsia="Open Sans" w:hAnsi="Open Sans" w:cs="Open Sans"/>
                <w:sz w:val="22"/>
                <w:szCs w:val="22"/>
                <w:vertAlign w:val="subscript"/>
              </w:rPr>
              <w:t>4</w:t>
            </w:r>
          </w:p>
        </w:tc>
      </w:tr>
      <w:tr w:rsidR="00C621A9">
        <w:tc>
          <w:tcPr>
            <w:tcW w:w="4680" w:type="dxa"/>
            <w:shd w:val="clear" w:color="auto" w:fill="auto"/>
            <w:tcMar>
              <w:top w:w="100" w:type="dxa"/>
              <w:left w:w="100" w:type="dxa"/>
              <w:bottom w:w="100" w:type="dxa"/>
              <w:right w:w="100" w:type="dxa"/>
            </w:tcMar>
          </w:tcPr>
          <w:p w:rsidR="00C621A9" w:rsidRDefault="00A14A0E">
            <w:pPr>
              <w:widowControl w:val="0"/>
              <w:spacing w:line="240" w:lineRule="auto"/>
              <w:rPr>
                <w:rFonts w:ascii="Open Sans" w:eastAsia="Open Sans" w:hAnsi="Open Sans" w:cs="Open Sans"/>
                <w:sz w:val="22"/>
                <w:szCs w:val="22"/>
                <w:vertAlign w:val="subscript"/>
              </w:rPr>
            </w:pPr>
            <w:r>
              <w:rPr>
                <w:rFonts w:ascii="Open Sans" w:eastAsia="Open Sans" w:hAnsi="Open Sans" w:cs="Open Sans"/>
                <w:sz w:val="22"/>
                <w:szCs w:val="22"/>
              </w:rPr>
              <w:t>NCl</w:t>
            </w:r>
            <w:r>
              <w:rPr>
                <w:rFonts w:ascii="Open Sans" w:eastAsia="Open Sans" w:hAnsi="Open Sans" w:cs="Open Sans"/>
                <w:sz w:val="22"/>
                <w:szCs w:val="22"/>
                <w:vertAlign w:val="subscript"/>
              </w:rPr>
              <w:t>3</w:t>
            </w:r>
          </w:p>
        </w:tc>
        <w:tc>
          <w:tcPr>
            <w:tcW w:w="4680" w:type="dxa"/>
            <w:shd w:val="clear" w:color="auto" w:fill="auto"/>
            <w:tcMar>
              <w:top w:w="100" w:type="dxa"/>
              <w:left w:w="100" w:type="dxa"/>
              <w:bottom w:w="100" w:type="dxa"/>
              <w:right w:w="100" w:type="dxa"/>
            </w:tcMar>
          </w:tcPr>
          <w:p w:rsidR="00C621A9" w:rsidRDefault="00A14A0E">
            <w:pPr>
              <w:widowControl w:val="0"/>
              <w:spacing w:line="240" w:lineRule="auto"/>
              <w:rPr>
                <w:rFonts w:ascii="Open Sans" w:eastAsia="Open Sans" w:hAnsi="Open Sans" w:cs="Open Sans"/>
                <w:sz w:val="22"/>
                <w:szCs w:val="22"/>
                <w:vertAlign w:val="subscript"/>
              </w:rPr>
            </w:pPr>
            <w:r>
              <w:rPr>
                <w:rFonts w:ascii="Open Sans" w:eastAsia="Open Sans" w:hAnsi="Open Sans" w:cs="Open Sans"/>
                <w:sz w:val="22"/>
                <w:szCs w:val="22"/>
              </w:rPr>
              <w:t>CO</w:t>
            </w:r>
            <w:r>
              <w:rPr>
                <w:rFonts w:ascii="Open Sans" w:eastAsia="Open Sans" w:hAnsi="Open Sans" w:cs="Open Sans"/>
                <w:sz w:val="22"/>
                <w:szCs w:val="22"/>
                <w:vertAlign w:val="subscript"/>
              </w:rPr>
              <w:t>2</w:t>
            </w:r>
          </w:p>
        </w:tc>
      </w:tr>
      <w:tr w:rsidR="00C621A9">
        <w:tc>
          <w:tcPr>
            <w:tcW w:w="4680" w:type="dxa"/>
            <w:shd w:val="clear" w:color="auto" w:fill="auto"/>
            <w:tcMar>
              <w:top w:w="100" w:type="dxa"/>
              <w:left w:w="100" w:type="dxa"/>
              <w:bottom w:w="100" w:type="dxa"/>
              <w:right w:w="100" w:type="dxa"/>
            </w:tcMar>
          </w:tcPr>
          <w:p w:rsidR="00C621A9" w:rsidRDefault="00A14A0E">
            <w:pPr>
              <w:widowControl w:val="0"/>
              <w:spacing w:line="240" w:lineRule="auto"/>
              <w:rPr>
                <w:rFonts w:ascii="Open Sans" w:eastAsia="Open Sans" w:hAnsi="Open Sans" w:cs="Open Sans"/>
                <w:sz w:val="22"/>
                <w:szCs w:val="22"/>
                <w:vertAlign w:val="subscript"/>
              </w:rPr>
            </w:pPr>
            <w:r>
              <w:rPr>
                <w:rFonts w:ascii="Open Sans" w:eastAsia="Open Sans" w:hAnsi="Open Sans" w:cs="Open Sans"/>
                <w:sz w:val="22"/>
                <w:szCs w:val="22"/>
              </w:rPr>
              <w:t>SO</w:t>
            </w:r>
            <w:r>
              <w:rPr>
                <w:rFonts w:ascii="Open Sans" w:eastAsia="Open Sans" w:hAnsi="Open Sans" w:cs="Open Sans"/>
                <w:sz w:val="22"/>
                <w:szCs w:val="22"/>
                <w:vertAlign w:val="subscript"/>
              </w:rPr>
              <w:t>2</w:t>
            </w:r>
          </w:p>
        </w:tc>
        <w:tc>
          <w:tcPr>
            <w:tcW w:w="4680" w:type="dxa"/>
            <w:shd w:val="clear" w:color="auto" w:fill="auto"/>
            <w:tcMar>
              <w:top w:w="100" w:type="dxa"/>
              <w:left w:w="100" w:type="dxa"/>
              <w:bottom w:w="100" w:type="dxa"/>
              <w:right w:w="100" w:type="dxa"/>
            </w:tcMar>
          </w:tcPr>
          <w:p w:rsidR="00C621A9" w:rsidRDefault="00A14A0E">
            <w:pPr>
              <w:widowControl w:val="0"/>
              <w:spacing w:line="240" w:lineRule="auto"/>
              <w:rPr>
                <w:rFonts w:ascii="Open Sans" w:eastAsia="Open Sans" w:hAnsi="Open Sans" w:cs="Open Sans"/>
                <w:sz w:val="22"/>
                <w:szCs w:val="22"/>
                <w:vertAlign w:val="subscript"/>
              </w:rPr>
            </w:pPr>
            <w:r>
              <w:rPr>
                <w:rFonts w:ascii="Open Sans" w:eastAsia="Open Sans" w:hAnsi="Open Sans" w:cs="Open Sans"/>
                <w:sz w:val="22"/>
                <w:szCs w:val="22"/>
              </w:rPr>
              <w:t>CF</w:t>
            </w:r>
            <w:r>
              <w:rPr>
                <w:rFonts w:ascii="Open Sans" w:eastAsia="Open Sans" w:hAnsi="Open Sans" w:cs="Open Sans"/>
                <w:sz w:val="22"/>
                <w:szCs w:val="22"/>
                <w:vertAlign w:val="subscript"/>
              </w:rPr>
              <w:t>4</w:t>
            </w:r>
          </w:p>
        </w:tc>
      </w:tr>
      <w:tr w:rsidR="00C621A9">
        <w:tc>
          <w:tcPr>
            <w:tcW w:w="4680" w:type="dxa"/>
            <w:shd w:val="clear" w:color="auto" w:fill="auto"/>
            <w:tcMar>
              <w:top w:w="100" w:type="dxa"/>
              <w:left w:w="100" w:type="dxa"/>
              <w:bottom w:w="100" w:type="dxa"/>
              <w:right w:w="100" w:type="dxa"/>
            </w:tcMar>
          </w:tcPr>
          <w:p w:rsidR="00C621A9" w:rsidRDefault="00A14A0E">
            <w:pPr>
              <w:widowControl w:val="0"/>
              <w:spacing w:line="240" w:lineRule="auto"/>
              <w:rPr>
                <w:rFonts w:ascii="Open Sans" w:eastAsia="Open Sans" w:hAnsi="Open Sans" w:cs="Open Sans"/>
                <w:sz w:val="22"/>
                <w:szCs w:val="22"/>
              </w:rPr>
            </w:pPr>
            <w:r>
              <w:rPr>
                <w:rFonts w:ascii="Open Sans" w:eastAsia="Open Sans" w:hAnsi="Open Sans" w:cs="Open Sans"/>
                <w:sz w:val="22"/>
                <w:szCs w:val="22"/>
              </w:rPr>
              <w:t>H</w:t>
            </w:r>
            <w:r>
              <w:rPr>
                <w:rFonts w:ascii="Open Sans" w:eastAsia="Open Sans" w:hAnsi="Open Sans" w:cs="Open Sans"/>
                <w:sz w:val="22"/>
                <w:szCs w:val="22"/>
                <w:vertAlign w:val="subscript"/>
              </w:rPr>
              <w:t>2</w:t>
            </w:r>
            <w:r>
              <w:rPr>
                <w:rFonts w:ascii="Open Sans" w:eastAsia="Open Sans" w:hAnsi="Open Sans" w:cs="Open Sans"/>
                <w:sz w:val="22"/>
                <w:szCs w:val="22"/>
              </w:rPr>
              <w:t>O</w:t>
            </w:r>
          </w:p>
        </w:tc>
        <w:tc>
          <w:tcPr>
            <w:tcW w:w="4680" w:type="dxa"/>
            <w:shd w:val="clear" w:color="auto" w:fill="auto"/>
            <w:tcMar>
              <w:top w:w="100" w:type="dxa"/>
              <w:left w:w="100" w:type="dxa"/>
              <w:bottom w:w="100" w:type="dxa"/>
              <w:right w:w="100" w:type="dxa"/>
            </w:tcMar>
          </w:tcPr>
          <w:p w:rsidR="00C621A9" w:rsidRDefault="00A14A0E">
            <w:pPr>
              <w:widowControl w:val="0"/>
              <w:spacing w:line="240" w:lineRule="auto"/>
              <w:rPr>
                <w:rFonts w:ascii="Open Sans" w:eastAsia="Open Sans" w:hAnsi="Open Sans" w:cs="Open Sans"/>
                <w:sz w:val="22"/>
                <w:szCs w:val="22"/>
                <w:vertAlign w:val="subscript"/>
              </w:rPr>
            </w:pPr>
            <w:r>
              <w:rPr>
                <w:rFonts w:ascii="Open Sans" w:eastAsia="Open Sans" w:hAnsi="Open Sans" w:cs="Open Sans"/>
                <w:sz w:val="22"/>
                <w:szCs w:val="22"/>
              </w:rPr>
              <w:t>CCl</w:t>
            </w:r>
            <w:r>
              <w:rPr>
                <w:rFonts w:ascii="Open Sans" w:eastAsia="Open Sans" w:hAnsi="Open Sans" w:cs="Open Sans"/>
                <w:sz w:val="22"/>
                <w:szCs w:val="22"/>
                <w:vertAlign w:val="subscript"/>
              </w:rPr>
              <w:t>4</w:t>
            </w:r>
          </w:p>
        </w:tc>
      </w:tr>
    </w:tbl>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sz w:val="22"/>
          <w:szCs w:val="22"/>
        </w:rPr>
      </w:pPr>
      <w:r>
        <w:rPr>
          <w:rFonts w:ascii="Open Sans" w:eastAsia="Open Sans" w:hAnsi="Open Sans" w:cs="Open Sans"/>
          <w:sz w:val="22"/>
          <w:szCs w:val="22"/>
        </w:rPr>
        <w:t>Give students about 20 minutes to work through the gumdrop modeling activity.  When they finish each model, ask them to get your attention so you can check their Lewis structures, models, and polarity predictions.  If your school uses an online learning management system, you may ask students to take a photo of their models on the sheets and upload the photos to the learning management system as their activity submission.</w:t>
      </w:r>
    </w:p>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sz w:val="22"/>
          <w:szCs w:val="22"/>
        </w:rPr>
      </w:pPr>
      <w:r>
        <w:rPr>
          <w:rFonts w:ascii="Open Sans" w:eastAsia="Open Sans" w:hAnsi="Open Sans" w:cs="Open Sans"/>
          <w:i/>
          <w:sz w:val="22"/>
          <w:szCs w:val="22"/>
        </w:rPr>
        <w:t>Some examples of student work appear below.</w:t>
      </w:r>
    </w:p>
    <w:p w:rsidR="00C621A9" w:rsidRDefault="00A14A0E">
      <w:pPr>
        <w:rPr>
          <w:rFonts w:ascii="Open Sans" w:eastAsia="Open Sans" w:hAnsi="Open Sans" w:cs="Open Sans"/>
          <w:b/>
          <w:sz w:val="22"/>
          <w:szCs w:val="22"/>
        </w:rPr>
      </w:pPr>
      <w:r>
        <w:rPr>
          <w:rFonts w:ascii="Open Sans" w:eastAsia="Open Sans" w:hAnsi="Open Sans" w:cs="Open Sans"/>
          <w:noProof/>
          <w:sz w:val="22"/>
          <w:szCs w:val="22"/>
          <w:lang w:val="en-US"/>
        </w:rPr>
        <w:lastRenderedPageBreak/>
        <w:drawing>
          <wp:inline distT="114300" distB="114300" distL="114300" distR="114300">
            <wp:extent cx="5943600" cy="3873500"/>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5943600" cy="3873500"/>
                    </a:xfrm>
                    <a:prstGeom prst="rect">
                      <a:avLst/>
                    </a:prstGeom>
                    <a:ln/>
                  </pic:spPr>
                </pic:pic>
              </a:graphicData>
            </a:graphic>
          </wp:inline>
        </w:drawing>
      </w:r>
      <w:r>
        <w:rPr>
          <w:rFonts w:ascii="Open Sans" w:eastAsia="Open Sans" w:hAnsi="Open Sans" w:cs="Open Sans"/>
          <w:b/>
          <w:sz w:val="22"/>
          <w:szCs w:val="22"/>
        </w:rPr>
        <w:t>This example shows work of a student who was successful in drawing a Lewis structure, building a VSEPR model, and predicting polarity.  (BF</w:t>
      </w:r>
      <w:r>
        <w:rPr>
          <w:rFonts w:ascii="Open Sans" w:eastAsia="Open Sans" w:hAnsi="Open Sans" w:cs="Open Sans"/>
          <w:b/>
          <w:sz w:val="22"/>
          <w:szCs w:val="22"/>
          <w:vertAlign w:val="subscript"/>
        </w:rPr>
        <w:t>3</w:t>
      </w:r>
      <w:r>
        <w:rPr>
          <w:rFonts w:ascii="Open Sans" w:eastAsia="Open Sans" w:hAnsi="Open Sans" w:cs="Open Sans"/>
          <w:b/>
          <w:sz w:val="22"/>
          <w:szCs w:val="22"/>
        </w:rPr>
        <w:t xml:space="preserve"> has been removed from the list of compounds since some chemistry classes may not study the incomplete octet nature of boron as a central atom.)</w:t>
      </w:r>
    </w:p>
    <w:p w:rsidR="00C621A9" w:rsidRDefault="00C621A9">
      <w:pPr>
        <w:rPr>
          <w:rFonts w:ascii="Open Sans" w:eastAsia="Open Sans" w:hAnsi="Open Sans" w:cs="Open Sans"/>
          <w:sz w:val="22"/>
          <w:szCs w:val="22"/>
        </w:rPr>
      </w:pPr>
    </w:p>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b/>
          <w:sz w:val="22"/>
          <w:szCs w:val="22"/>
        </w:rPr>
      </w:pPr>
      <w:r>
        <w:rPr>
          <w:rFonts w:ascii="Open Sans" w:eastAsia="Open Sans" w:hAnsi="Open Sans" w:cs="Open Sans"/>
          <w:noProof/>
          <w:sz w:val="22"/>
          <w:szCs w:val="22"/>
          <w:lang w:val="en-US"/>
        </w:rPr>
        <w:lastRenderedPageBreak/>
        <w:drawing>
          <wp:inline distT="114300" distB="114300" distL="114300" distR="114300">
            <wp:extent cx="5943600" cy="3390900"/>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5943600" cy="3390900"/>
                    </a:xfrm>
                    <a:prstGeom prst="rect">
                      <a:avLst/>
                    </a:prstGeom>
                    <a:ln/>
                  </pic:spPr>
                </pic:pic>
              </a:graphicData>
            </a:graphic>
          </wp:inline>
        </w:drawing>
      </w:r>
      <w:r>
        <w:rPr>
          <w:rFonts w:ascii="Open Sans" w:eastAsia="Open Sans" w:hAnsi="Open Sans" w:cs="Open Sans"/>
          <w:b/>
          <w:sz w:val="22"/>
          <w:szCs w:val="22"/>
        </w:rPr>
        <w:t>This example shows student work comparing two linear molecules, one polar and one nonpolar.</w:t>
      </w:r>
    </w:p>
    <w:p w:rsidR="00C621A9" w:rsidRDefault="00C621A9">
      <w:pPr>
        <w:rPr>
          <w:rFonts w:ascii="Open Sans" w:eastAsia="Open Sans" w:hAnsi="Open Sans" w:cs="Open Sans"/>
          <w:sz w:val="22"/>
          <w:szCs w:val="22"/>
        </w:rPr>
      </w:pPr>
    </w:p>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b/>
          <w:sz w:val="22"/>
          <w:szCs w:val="22"/>
        </w:rPr>
      </w:pPr>
      <w:r>
        <w:rPr>
          <w:rFonts w:ascii="Open Sans" w:eastAsia="Open Sans" w:hAnsi="Open Sans" w:cs="Open Sans"/>
          <w:noProof/>
          <w:sz w:val="22"/>
          <w:szCs w:val="22"/>
          <w:lang w:val="en-US"/>
        </w:rPr>
        <w:drawing>
          <wp:inline distT="114300" distB="114300" distL="114300" distR="114300">
            <wp:extent cx="5943600" cy="3467100"/>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t="5943"/>
                    <a:stretch>
                      <a:fillRect/>
                    </a:stretch>
                  </pic:blipFill>
                  <pic:spPr>
                    <a:xfrm>
                      <a:off x="0" y="0"/>
                      <a:ext cx="5943600" cy="3467100"/>
                    </a:xfrm>
                    <a:prstGeom prst="rect">
                      <a:avLst/>
                    </a:prstGeom>
                    <a:ln/>
                  </pic:spPr>
                </pic:pic>
              </a:graphicData>
            </a:graphic>
          </wp:inline>
        </w:drawing>
      </w:r>
      <w:r>
        <w:rPr>
          <w:rFonts w:ascii="Open Sans" w:eastAsia="Open Sans" w:hAnsi="Open Sans" w:cs="Open Sans"/>
          <w:b/>
          <w:sz w:val="22"/>
          <w:szCs w:val="22"/>
        </w:rPr>
        <w:t>In this example, the students chose to use two toothpicks to represent the double-bond in carbon dioxide.  This student was also successful in using their models to predict polarity.</w:t>
      </w:r>
    </w:p>
    <w:p w:rsidR="00C621A9" w:rsidRDefault="00C621A9">
      <w:pPr>
        <w:rPr>
          <w:rFonts w:ascii="Open Sans" w:eastAsia="Open Sans" w:hAnsi="Open Sans" w:cs="Open Sans"/>
          <w:b/>
          <w:sz w:val="22"/>
          <w:szCs w:val="22"/>
        </w:rPr>
      </w:pPr>
    </w:p>
    <w:p w:rsidR="00C621A9" w:rsidRDefault="00C621A9">
      <w:pPr>
        <w:rPr>
          <w:rFonts w:ascii="Open Sans" w:eastAsia="Open Sans" w:hAnsi="Open Sans" w:cs="Open Sans"/>
          <w:b/>
          <w:sz w:val="22"/>
          <w:szCs w:val="22"/>
        </w:rPr>
      </w:pPr>
    </w:p>
    <w:p w:rsidR="00C621A9" w:rsidRDefault="00A14A0E">
      <w:pPr>
        <w:rPr>
          <w:rFonts w:ascii="Open Sans" w:eastAsia="Open Sans" w:hAnsi="Open Sans" w:cs="Open Sans"/>
          <w:b/>
          <w:sz w:val="22"/>
          <w:szCs w:val="22"/>
        </w:rPr>
      </w:pPr>
      <w:r>
        <w:rPr>
          <w:rFonts w:ascii="Open Sans" w:eastAsia="Open Sans" w:hAnsi="Open Sans" w:cs="Open Sans"/>
          <w:noProof/>
          <w:sz w:val="22"/>
          <w:szCs w:val="22"/>
          <w:lang w:val="en-US"/>
        </w:rPr>
        <w:drawing>
          <wp:inline distT="114300" distB="114300" distL="114300" distR="114300">
            <wp:extent cx="5943600" cy="3556000"/>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5943600" cy="3556000"/>
                    </a:xfrm>
                    <a:prstGeom prst="rect">
                      <a:avLst/>
                    </a:prstGeom>
                    <a:ln/>
                  </pic:spPr>
                </pic:pic>
              </a:graphicData>
            </a:graphic>
          </wp:inline>
        </w:drawing>
      </w:r>
      <w:r>
        <w:rPr>
          <w:rFonts w:ascii="Open Sans" w:eastAsia="Open Sans" w:hAnsi="Open Sans" w:cs="Open Sans"/>
          <w:b/>
          <w:sz w:val="22"/>
          <w:szCs w:val="22"/>
        </w:rPr>
        <w:t>This example shows work where a student built models correctly, but did not predict polarity correctly. For NCl</w:t>
      </w:r>
      <w:proofErr w:type="gramStart"/>
      <w:r>
        <w:rPr>
          <w:rFonts w:ascii="Open Sans" w:eastAsia="Open Sans" w:hAnsi="Open Sans" w:cs="Open Sans"/>
          <w:b/>
          <w:sz w:val="22"/>
          <w:szCs w:val="22"/>
          <w:vertAlign w:val="subscript"/>
        </w:rPr>
        <w:t>3</w:t>
      </w:r>
      <w:r>
        <w:rPr>
          <w:rFonts w:ascii="Open Sans" w:eastAsia="Open Sans" w:hAnsi="Open Sans" w:cs="Open Sans"/>
          <w:b/>
          <w:sz w:val="22"/>
          <w:szCs w:val="22"/>
        </w:rPr>
        <w:t xml:space="preserve"> ,</w:t>
      </w:r>
      <w:proofErr w:type="gramEnd"/>
      <w:r>
        <w:rPr>
          <w:rFonts w:ascii="Open Sans" w:eastAsia="Open Sans" w:hAnsi="Open Sans" w:cs="Open Sans"/>
          <w:b/>
          <w:sz w:val="22"/>
          <w:szCs w:val="22"/>
        </w:rPr>
        <w:t xml:space="preserve"> the student recognized the lack of symmetry, but still called the molecule nonpolar, perhaps because the bonds are nonpolar bonds.  Then, for BF</w:t>
      </w:r>
      <w:proofErr w:type="gramStart"/>
      <w:r>
        <w:rPr>
          <w:rFonts w:ascii="Open Sans" w:eastAsia="Open Sans" w:hAnsi="Open Sans" w:cs="Open Sans"/>
          <w:b/>
          <w:sz w:val="22"/>
          <w:szCs w:val="22"/>
          <w:vertAlign w:val="subscript"/>
        </w:rPr>
        <w:t>3</w:t>
      </w:r>
      <w:r>
        <w:rPr>
          <w:rFonts w:ascii="Open Sans" w:eastAsia="Open Sans" w:hAnsi="Open Sans" w:cs="Open Sans"/>
          <w:b/>
          <w:sz w:val="22"/>
          <w:szCs w:val="22"/>
        </w:rPr>
        <w:t xml:space="preserve"> ,</w:t>
      </w:r>
      <w:proofErr w:type="gramEnd"/>
      <w:r>
        <w:rPr>
          <w:rFonts w:ascii="Open Sans" w:eastAsia="Open Sans" w:hAnsi="Open Sans" w:cs="Open Sans"/>
          <w:b/>
          <w:sz w:val="22"/>
          <w:szCs w:val="22"/>
        </w:rPr>
        <w:t xml:space="preserve"> it appears that the students predicted a T-shape in the Lewis structure, and this caused them not to see the symmetry around the central atom.</w:t>
      </w:r>
    </w:p>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sz w:val="22"/>
          <w:szCs w:val="22"/>
        </w:rPr>
      </w:pPr>
      <w:r>
        <w:rPr>
          <w:rFonts w:ascii="Open Sans" w:eastAsia="Open Sans" w:hAnsi="Open Sans" w:cs="Open Sans"/>
          <w:sz w:val="22"/>
          <w:szCs w:val="22"/>
        </w:rPr>
        <w:t>4.  Back to the POGIL:</w:t>
      </w:r>
    </w:p>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sz w:val="22"/>
          <w:szCs w:val="22"/>
        </w:rPr>
      </w:pPr>
      <w:r>
        <w:rPr>
          <w:rFonts w:ascii="Open Sans" w:eastAsia="Open Sans" w:hAnsi="Open Sans" w:cs="Open Sans"/>
          <w:sz w:val="22"/>
          <w:szCs w:val="22"/>
        </w:rPr>
        <w:t>Then, give students time to work with their groups as they answer questions 11-18.  If you have a board that allows students to write on top of a projected image (a SMART board or just a projector on a whiteboard), you may project questions 17 and 18 on the board and assign a molecule to each student group to complete as a way for the class to compare answers.</w:t>
      </w:r>
    </w:p>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sz w:val="22"/>
          <w:szCs w:val="22"/>
        </w:rPr>
      </w:pPr>
      <w:r>
        <w:rPr>
          <w:rFonts w:ascii="Open Sans" w:eastAsia="Open Sans" w:hAnsi="Open Sans" w:cs="Open Sans"/>
          <w:sz w:val="22"/>
          <w:szCs w:val="22"/>
        </w:rPr>
        <w:t>(As a note, in question 18, the structure for XeF</w:t>
      </w:r>
      <w:r>
        <w:rPr>
          <w:rFonts w:ascii="Open Sans" w:eastAsia="Open Sans" w:hAnsi="Open Sans" w:cs="Open Sans"/>
          <w:sz w:val="22"/>
          <w:szCs w:val="22"/>
          <w:vertAlign w:val="subscript"/>
        </w:rPr>
        <w:t>4</w:t>
      </w:r>
      <w:r>
        <w:rPr>
          <w:rFonts w:ascii="Open Sans" w:eastAsia="Open Sans" w:hAnsi="Open Sans" w:cs="Open Sans"/>
          <w:sz w:val="22"/>
          <w:szCs w:val="22"/>
        </w:rPr>
        <w:t xml:space="preserve"> goes beyond the scope of Chemistry I standards.  It is not considered a simple molecule due to its expanded octet.  Depending on the ability level of the student, the teacher may choose to include this structure, omit it, or provide it as a “bonus” question.)  </w:t>
      </w:r>
    </w:p>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sz w:val="22"/>
          <w:szCs w:val="22"/>
        </w:rPr>
      </w:pPr>
      <w:r>
        <w:rPr>
          <w:rFonts w:ascii="Open Sans" w:eastAsia="Open Sans" w:hAnsi="Open Sans" w:cs="Open Sans"/>
          <w:sz w:val="22"/>
          <w:szCs w:val="22"/>
        </w:rPr>
        <w:t>After each group has contributed their answer to questions 17 and 18 on the board, review the answers as a class.   Walk around the classroom and take a look at each group’s responses.  If there is a difference among groups, ask a group member to explain why they have a different answer.  Guide the class to a consensus with the correct answer.</w:t>
      </w:r>
    </w:p>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sz w:val="22"/>
          <w:szCs w:val="22"/>
        </w:rPr>
      </w:pPr>
      <w:r>
        <w:rPr>
          <w:rFonts w:ascii="Open Sans" w:eastAsia="Open Sans" w:hAnsi="Open Sans" w:cs="Open Sans"/>
          <w:sz w:val="22"/>
          <w:szCs w:val="22"/>
        </w:rPr>
        <w:t>5. Closure and Connection to Previous Lessons:</w:t>
      </w:r>
    </w:p>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sz w:val="22"/>
          <w:szCs w:val="22"/>
        </w:rPr>
      </w:pPr>
      <w:r>
        <w:rPr>
          <w:rFonts w:ascii="Open Sans" w:eastAsia="Open Sans" w:hAnsi="Open Sans" w:cs="Open Sans"/>
          <w:sz w:val="22"/>
          <w:szCs w:val="22"/>
        </w:rPr>
        <w:t xml:space="preserve">Question 19 serves as a closure question.  This provides a challenging, final assessment without the scaffolding provided in the previous questions.  Students who demonstrate ability to answer these questions correctly are demonstrating full understanding of how molecular structure relates to polarity.  </w:t>
      </w:r>
    </w:p>
    <w:p w:rsidR="00C621A9" w:rsidRDefault="00C621A9">
      <w:pPr>
        <w:rPr>
          <w:rFonts w:ascii="Open Sans" w:eastAsia="Open Sans" w:hAnsi="Open Sans" w:cs="Open Sans"/>
          <w:sz w:val="22"/>
          <w:szCs w:val="22"/>
        </w:rPr>
      </w:pPr>
    </w:p>
    <w:p w:rsidR="00C621A9" w:rsidRDefault="00A14A0E">
      <w:pPr>
        <w:rPr>
          <w:rFonts w:ascii="Open Sans" w:eastAsia="Open Sans" w:hAnsi="Open Sans" w:cs="Open Sans"/>
          <w:sz w:val="22"/>
          <w:szCs w:val="22"/>
        </w:rPr>
      </w:pPr>
      <w:r>
        <w:rPr>
          <w:rFonts w:ascii="Open Sans" w:eastAsia="Open Sans" w:hAnsi="Open Sans" w:cs="Open Sans"/>
          <w:sz w:val="22"/>
          <w:szCs w:val="22"/>
        </w:rPr>
        <w:t>(Question 19d, phosphorus pentachloride, also goes beyond the scope of Chemistry I question as it includes a structure with an expanded octet.  This question may be omitted depending on the ability level of the student.)</w:t>
      </w:r>
    </w:p>
    <w:p w:rsidR="00C621A9" w:rsidRDefault="00C621A9">
      <w:pPr>
        <w:ind w:left="360"/>
        <w:rPr>
          <w:rFonts w:ascii="Open Sans" w:eastAsia="Open Sans" w:hAnsi="Open Sans" w:cs="Open Sans"/>
          <w:i/>
          <w:sz w:val="22"/>
          <w:szCs w:val="22"/>
        </w:rPr>
      </w:pPr>
    </w:p>
    <w:p w:rsidR="00C621A9" w:rsidRDefault="00A14A0E">
      <w:pPr>
        <w:rPr>
          <w:rFonts w:ascii="Open Sans" w:eastAsia="Open Sans" w:hAnsi="Open Sans" w:cs="Open Sans"/>
          <w:b/>
          <w:sz w:val="22"/>
          <w:szCs w:val="22"/>
        </w:rPr>
      </w:pPr>
      <w:r>
        <w:rPr>
          <w:rFonts w:ascii="Open Sans" w:eastAsia="Open Sans" w:hAnsi="Open Sans" w:cs="Open Sans"/>
          <w:b/>
          <w:sz w:val="22"/>
          <w:szCs w:val="22"/>
        </w:rPr>
        <w:t>Citations and Resources</w:t>
      </w:r>
    </w:p>
    <w:p w:rsidR="00C621A9" w:rsidRDefault="00C621A9">
      <w:pPr>
        <w:rPr>
          <w:rFonts w:ascii="Open Sans" w:eastAsia="Open Sans" w:hAnsi="Open Sans" w:cs="Open Sans"/>
          <w:b/>
          <w:sz w:val="22"/>
          <w:szCs w:val="22"/>
        </w:rPr>
      </w:pPr>
    </w:p>
    <w:p w:rsidR="00C621A9" w:rsidRDefault="00A14A0E">
      <w:pPr>
        <w:rPr>
          <w:rFonts w:ascii="Open Sans" w:eastAsia="Open Sans" w:hAnsi="Open Sans" w:cs="Open Sans"/>
          <w:sz w:val="22"/>
          <w:szCs w:val="22"/>
          <w:highlight w:val="white"/>
        </w:rPr>
      </w:pPr>
      <w:r>
        <w:rPr>
          <w:rFonts w:ascii="Open Sans" w:eastAsia="Open Sans" w:hAnsi="Open Sans" w:cs="Open Sans"/>
          <w:sz w:val="22"/>
          <w:szCs w:val="22"/>
          <w:highlight w:val="white"/>
        </w:rPr>
        <w:t>Figure 1: The original uploader was Ben Mills (https://commons.wikimedia.org/wiki/Acetone#/media/File:Acetone-structural.png)</w:t>
      </w:r>
    </w:p>
    <w:p w:rsidR="00C621A9" w:rsidRDefault="00C621A9">
      <w:pPr>
        <w:rPr>
          <w:rFonts w:ascii="Open Sans" w:eastAsia="Open Sans" w:hAnsi="Open Sans" w:cs="Open Sans"/>
          <w:sz w:val="22"/>
          <w:szCs w:val="22"/>
          <w:highlight w:val="white"/>
        </w:rPr>
      </w:pPr>
    </w:p>
    <w:p w:rsidR="00C621A9" w:rsidRDefault="00A14A0E">
      <w:pPr>
        <w:rPr>
          <w:rFonts w:ascii="Open Sans" w:eastAsia="Open Sans" w:hAnsi="Open Sans" w:cs="Open Sans"/>
          <w:sz w:val="22"/>
          <w:szCs w:val="22"/>
          <w:highlight w:val="white"/>
        </w:rPr>
      </w:pPr>
      <w:r>
        <w:rPr>
          <w:rFonts w:ascii="Open Sans" w:eastAsia="Open Sans" w:hAnsi="Open Sans" w:cs="Open Sans"/>
          <w:sz w:val="22"/>
          <w:szCs w:val="22"/>
          <w:highlight w:val="white"/>
        </w:rPr>
        <w:t xml:space="preserve">Figure 2:  The original uploader was </w:t>
      </w:r>
      <w:proofErr w:type="spellStart"/>
      <w:r>
        <w:rPr>
          <w:rFonts w:ascii="Open Sans" w:eastAsia="Open Sans" w:hAnsi="Open Sans" w:cs="Open Sans"/>
          <w:sz w:val="22"/>
          <w:szCs w:val="22"/>
          <w:highlight w:val="white"/>
        </w:rPr>
        <w:t>Daviewales</w:t>
      </w:r>
      <w:proofErr w:type="spellEnd"/>
      <w:r>
        <w:rPr>
          <w:rFonts w:ascii="Open Sans" w:eastAsia="Open Sans" w:hAnsi="Open Sans" w:cs="Open Sans"/>
          <w:sz w:val="22"/>
          <w:szCs w:val="22"/>
          <w:highlight w:val="white"/>
        </w:rPr>
        <w:t xml:space="preserve"> (https://upload.wikimedia.org/wikipedia/commons/1/18/H2O_Lewis_Structure_PNG.png)</w:t>
      </w:r>
    </w:p>
    <w:p w:rsidR="00C621A9" w:rsidRDefault="00C621A9">
      <w:pPr>
        <w:rPr>
          <w:rFonts w:ascii="Open Sans" w:eastAsia="Open Sans" w:hAnsi="Open Sans" w:cs="Open Sans"/>
          <w:sz w:val="22"/>
          <w:szCs w:val="22"/>
          <w:highlight w:val="white"/>
        </w:rPr>
      </w:pPr>
    </w:p>
    <w:p w:rsidR="00C621A9" w:rsidRDefault="00A14A0E">
      <w:pPr>
        <w:rPr>
          <w:rFonts w:ascii="Open Sans" w:eastAsia="Open Sans" w:hAnsi="Open Sans" w:cs="Open Sans"/>
          <w:sz w:val="22"/>
          <w:szCs w:val="22"/>
          <w:highlight w:val="white"/>
        </w:rPr>
      </w:pPr>
      <w:r>
        <w:rPr>
          <w:rFonts w:ascii="Open Sans" w:eastAsia="Open Sans" w:hAnsi="Open Sans" w:cs="Open Sans"/>
          <w:sz w:val="22"/>
          <w:szCs w:val="22"/>
          <w:highlight w:val="white"/>
        </w:rPr>
        <w:t xml:space="preserve">Trout, L. (2015). </w:t>
      </w:r>
      <w:r>
        <w:rPr>
          <w:rFonts w:ascii="Open Sans" w:eastAsia="Open Sans" w:hAnsi="Open Sans" w:cs="Open Sans"/>
          <w:i/>
          <w:sz w:val="22"/>
          <w:szCs w:val="22"/>
        </w:rPr>
        <w:t>POGIL activities for AP chemistry: developed through the High School POGIL Initiative</w:t>
      </w:r>
      <w:r>
        <w:rPr>
          <w:rFonts w:ascii="Open Sans" w:eastAsia="Open Sans" w:hAnsi="Open Sans" w:cs="Open Sans"/>
          <w:sz w:val="22"/>
          <w:szCs w:val="22"/>
          <w:highlight w:val="white"/>
        </w:rPr>
        <w:t xml:space="preserve">. Batavia, IL: </w:t>
      </w:r>
      <w:proofErr w:type="spellStart"/>
      <w:r>
        <w:rPr>
          <w:rFonts w:ascii="Open Sans" w:eastAsia="Open Sans" w:hAnsi="Open Sans" w:cs="Open Sans"/>
          <w:sz w:val="22"/>
          <w:szCs w:val="22"/>
          <w:highlight w:val="white"/>
        </w:rPr>
        <w:t>Flinn</w:t>
      </w:r>
      <w:proofErr w:type="spellEnd"/>
      <w:r>
        <w:rPr>
          <w:rFonts w:ascii="Open Sans" w:eastAsia="Open Sans" w:hAnsi="Open Sans" w:cs="Open Sans"/>
          <w:sz w:val="22"/>
          <w:szCs w:val="22"/>
          <w:highlight w:val="white"/>
        </w:rPr>
        <w:t xml:space="preserve"> Scientific, Inc.</w:t>
      </w:r>
    </w:p>
    <w:p w:rsidR="00C621A9" w:rsidRDefault="00C621A9">
      <w:pPr>
        <w:rPr>
          <w:rFonts w:ascii="Open Sans" w:eastAsia="Open Sans" w:hAnsi="Open Sans" w:cs="Open Sans"/>
          <w:sz w:val="24"/>
          <w:szCs w:val="24"/>
          <w:highlight w:val="white"/>
        </w:rPr>
      </w:pPr>
    </w:p>
    <w:sectPr w:rsidR="00C621A9">
      <w:headerReference w:type="default" r:id="rId19"/>
      <w:footerReference w:type="default" r:id="rId2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67D1" w:rsidRDefault="00A14A0E">
      <w:pPr>
        <w:spacing w:line="240" w:lineRule="auto"/>
      </w:pPr>
      <w:r>
        <w:separator/>
      </w:r>
    </w:p>
  </w:endnote>
  <w:endnote w:type="continuationSeparator" w:id="0">
    <w:p w:rsidR="003F67D1" w:rsidRDefault="00A14A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Times New Roman"/>
    <w:charset w:val="00"/>
    <w:family w:val="auto"/>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1A9" w:rsidRDefault="00C621A9">
    <w:pP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67D1" w:rsidRDefault="00A14A0E">
      <w:pPr>
        <w:spacing w:line="240" w:lineRule="auto"/>
      </w:pPr>
      <w:r>
        <w:separator/>
      </w:r>
    </w:p>
  </w:footnote>
  <w:footnote w:type="continuationSeparator" w:id="0">
    <w:p w:rsidR="003F67D1" w:rsidRDefault="00A14A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1A9" w:rsidRDefault="00C621A9">
    <w:pPr>
      <w:jc w:val="center"/>
      <w:rPr>
        <w:rFonts w:ascii="Open Sans" w:eastAsia="Open Sans" w:hAnsi="Open Sans" w:cs="Open Sans"/>
        <w:b/>
        <w:sz w:val="28"/>
        <w:szCs w:val="28"/>
      </w:rPr>
    </w:pPr>
  </w:p>
  <w:p w:rsidR="00C621A9" w:rsidRDefault="00C621A9">
    <w:pPr>
      <w:jc w:val="center"/>
      <w:rPr>
        <w:rFonts w:ascii="Open Sans" w:eastAsia="Open Sans" w:hAnsi="Open Sans" w:cs="Open Sans"/>
        <w:b/>
        <w:sz w:val="28"/>
        <w:szCs w:val="28"/>
      </w:rPr>
    </w:pPr>
  </w:p>
  <w:p w:rsidR="00C621A9" w:rsidRDefault="00C621A9">
    <w:pPr>
      <w:rPr>
        <w:rFonts w:ascii="Open Sans" w:eastAsia="Open Sans" w:hAnsi="Open Sans" w:cs="Open Sans"/>
        <w:b/>
        <w:sz w:val="28"/>
        <w:szCs w:val="28"/>
      </w:rPr>
    </w:pPr>
  </w:p>
  <w:p w:rsidR="00C621A9" w:rsidRDefault="00A14A0E">
    <w:pPr>
      <w:jc w:val="center"/>
      <w:rPr>
        <w:rFonts w:ascii="Open Sans" w:eastAsia="Open Sans" w:hAnsi="Open Sans" w:cs="Open Sans"/>
        <w:b/>
        <w:sz w:val="28"/>
        <w:szCs w:val="28"/>
      </w:rPr>
    </w:pPr>
    <w:r>
      <w:rPr>
        <w:rFonts w:ascii="Open Sans" w:eastAsia="Open Sans" w:hAnsi="Open Sans" w:cs="Open Sans"/>
        <w:b/>
        <w:sz w:val="28"/>
        <w:szCs w:val="28"/>
      </w:rPr>
      <w:t xml:space="preserve">Teacher Guide for Chemistry - Page </w:t>
    </w:r>
    <w:r>
      <w:rPr>
        <w:rFonts w:ascii="Open Sans" w:eastAsia="Open Sans" w:hAnsi="Open Sans" w:cs="Open Sans"/>
        <w:b/>
        <w:sz w:val="28"/>
        <w:szCs w:val="28"/>
      </w:rPr>
      <w:fldChar w:fldCharType="begin"/>
    </w:r>
    <w:r>
      <w:rPr>
        <w:rFonts w:ascii="Open Sans" w:eastAsia="Open Sans" w:hAnsi="Open Sans" w:cs="Open Sans"/>
        <w:b/>
        <w:sz w:val="28"/>
        <w:szCs w:val="28"/>
      </w:rPr>
      <w:instrText>PAGE</w:instrText>
    </w:r>
    <w:r>
      <w:rPr>
        <w:rFonts w:ascii="Open Sans" w:eastAsia="Open Sans" w:hAnsi="Open Sans" w:cs="Open Sans"/>
        <w:b/>
        <w:sz w:val="28"/>
        <w:szCs w:val="28"/>
      </w:rPr>
      <w:fldChar w:fldCharType="separate"/>
    </w:r>
    <w:r w:rsidR="00E436C7">
      <w:rPr>
        <w:rFonts w:ascii="Open Sans" w:eastAsia="Open Sans" w:hAnsi="Open Sans" w:cs="Open Sans"/>
        <w:b/>
        <w:noProof/>
        <w:sz w:val="28"/>
        <w:szCs w:val="28"/>
      </w:rPr>
      <w:t>10</w:t>
    </w:r>
    <w:r>
      <w:rPr>
        <w:rFonts w:ascii="Open Sans" w:eastAsia="Open Sans" w:hAnsi="Open Sans" w:cs="Open Sans"/>
        <w:b/>
        <w:sz w:val="28"/>
        <w:szCs w:val="28"/>
      </w:rPr>
      <w:fldChar w:fldCharType="end"/>
    </w:r>
  </w:p>
  <w:p w:rsidR="00C621A9" w:rsidRDefault="00C621A9">
    <w:pPr>
      <w:jc w:val="center"/>
      <w:rPr>
        <w:rFonts w:ascii="Open Sans" w:eastAsia="Open Sans" w:hAnsi="Open Sans" w:cs="Open Sans"/>
        <w:b/>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B5F92"/>
    <w:multiLevelType w:val="multilevel"/>
    <w:tmpl w:val="3F5E5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F31025"/>
    <w:multiLevelType w:val="multilevel"/>
    <w:tmpl w:val="39189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3E02E59"/>
    <w:multiLevelType w:val="multilevel"/>
    <w:tmpl w:val="857C7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A9"/>
    <w:rsid w:val="003F67D1"/>
    <w:rsid w:val="00A14A0E"/>
    <w:rsid w:val="00C621A9"/>
    <w:rsid w:val="00E436C7"/>
    <w:rsid w:val="00F625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E2579"/>
  <w15:docId w15:val="{F1B28448-0223-4C80-BE86-94B8C8770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rebuchet MS" w:hAnsi="Trebuchet MS" w:cs="Trebuchet MS"/>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outlineLvl w:val="0"/>
    </w:pPr>
    <w:rPr>
      <w:b/>
      <w:sz w:val="24"/>
      <w:szCs w:val="24"/>
    </w:rPr>
  </w:style>
  <w:style w:type="paragraph" w:styleId="Heading2">
    <w:name w:val="heading 2"/>
    <w:basedOn w:val="Normal"/>
    <w:next w:val="Normal"/>
    <w:pPr>
      <w:keepNext/>
      <w:keepLines/>
      <w:spacing w:before="200"/>
      <w:outlineLvl w:val="1"/>
    </w:pPr>
    <w:rPr>
      <w:sz w:val="22"/>
      <w:szCs w:val="22"/>
      <w:u w:val="single"/>
    </w:rPr>
  </w:style>
  <w:style w:type="paragraph" w:styleId="Heading3">
    <w:name w:val="heading 3"/>
    <w:basedOn w:val="Normal"/>
    <w:next w:val="Normal"/>
    <w:pPr>
      <w:keepNext/>
      <w:keepLines/>
      <w:spacing w:before="160"/>
      <w:outlineLvl w:val="2"/>
    </w:pPr>
    <w:rPr>
      <w:b/>
      <w:color w:val="666666"/>
      <w:sz w:val="24"/>
      <w:szCs w:val="24"/>
    </w:rPr>
  </w:style>
  <w:style w:type="paragraph" w:styleId="Heading4">
    <w:name w:val="heading 4"/>
    <w:basedOn w:val="Normal"/>
    <w:next w:val="Normal"/>
    <w:pPr>
      <w:keepNext/>
      <w:keepLines/>
      <w:spacing w:before="160"/>
      <w:outlineLvl w:val="3"/>
    </w:pPr>
    <w:rPr>
      <w:color w:val="666666"/>
      <w:sz w:val="22"/>
      <w:szCs w:val="22"/>
      <w:u w:val="single"/>
    </w:rPr>
  </w:style>
  <w:style w:type="paragraph" w:styleId="Heading5">
    <w:name w:val="heading 5"/>
    <w:basedOn w:val="Normal"/>
    <w:next w:val="Normal"/>
    <w:pPr>
      <w:keepNext/>
      <w:keepLines/>
      <w:spacing w:before="160"/>
      <w:outlineLvl w:val="4"/>
    </w:pPr>
    <w:rPr>
      <w:color w:val="666666"/>
      <w:sz w:val="22"/>
      <w:szCs w:val="22"/>
    </w:rPr>
  </w:style>
  <w:style w:type="paragraph" w:styleId="Heading6">
    <w:name w:val="heading 6"/>
    <w:basedOn w:val="Normal"/>
    <w:next w:val="Normal"/>
    <w:pPr>
      <w:keepNext/>
      <w:keepLines/>
      <w:spacing w:before="16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sz w:val="28"/>
      <w:szCs w:val="28"/>
    </w:rPr>
  </w:style>
  <w:style w:type="paragraph" w:styleId="Subtitle">
    <w:name w:val="Subtitle"/>
    <w:basedOn w:val="Normal"/>
    <w:next w:val="Normal"/>
    <w:pPr>
      <w:keepNext/>
      <w:keepLines/>
      <w:spacing w:after="200"/>
    </w:pPr>
    <w:rPr>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1621</Words>
  <Characters>9241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Holland Sloan</dc:creator>
  <cp:lastModifiedBy>Steve Elliott</cp:lastModifiedBy>
  <cp:revision>3</cp:revision>
  <dcterms:created xsi:type="dcterms:W3CDTF">2019-06-05T17:42:00Z</dcterms:created>
  <dcterms:modified xsi:type="dcterms:W3CDTF">2019-06-07T13:44:00Z</dcterms:modified>
</cp:coreProperties>
</file>