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rsidTr="00816DCC">
        <w:tc>
          <w:tcPr>
            <w:tcW w:w="10908" w:type="dxa"/>
            <w:gridSpan w:val="2"/>
          </w:tcPr>
          <w:p w:rsidR="009735DB" w:rsidRPr="00B97B88" w:rsidRDefault="009735DB" w:rsidP="004161B5">
            <w:pPr>
              <w:spacing w:after="0" w:line="240" w:lineRule="auto"/>
            </w:pPr>
            <w:r w:rsidRPr="00B97B88">
              <w:t>Teacher:</w:t>
            </w:r>
            <w:r w:rsidR="00682025" w:rsidRPr="00B97B88">
              <w:t xml:space="preserve">  </w:t>
            </w:r>
            <w:r w:rsidR="002E26FF" w:rsidRPr="00B97B88">
              <w:t>Holland Brewer</w:t>
            </w:r>
          </w:p>
        </w:tc>
      </w:tr>
      <w:tr w:rsidR="009735DB" w:rsidRPr="004161B5" w:rsidTr="00816DCC">
        <w:tc>
          <w:tcPr>
            <w:tcW w:w="10908" w:type="dxa"/>
            <w:gridSpan w:val="2"/>
          </w:tcPr>
          <w:p w:rsidR="009735DB" w:rsidRPr="00B97B88" w:rsidRDefault="009735DB" w:rsidP="004161B5">
            <w:pPr>
              <w:spacing w:after="0" w:line="240" w:lineRule="auto"/>
            </w:pPr>
            <w:r w:rsidRPr="00B97B88">
              <w:t>Subject/Grade:</w:t>
            </w:r>
            <w:r w:rsidR="002E26FF" w:rsidRPr="00B97B88">
              <w:t xml:space="preserve">  High School Chemistry 1</w:t>
            </w:r>
          </w:p>
        </w:tc>
      </w:tr>
      <w:tr w:rsidR="009735DB" w:rsidRPr="004161B5" w:rsidTr="00816DCC">
        <w:tc>
          <w:tcPr>
            <w:tcW w:w="10908" w:type="dxa"/>
            <w:gridSpan w:val="2"/>
          </w:tcPr>
          <w:p w:rsidR="009735DB" w:rsidRPr="00B97B88" w:rsidRDefault="009735DB" w:rsidP="00DF48EF">
            <w:pPr>
              <w:spacing w:after="0" w:line="240" w:lineRule="auto"/>
            </w:pPr>
            <w:r w:rsidRPr="00B97B88">
              <w:t>Lesson Title</w:t>
            </w:r>
            <w:r w:rsidR="00650E18" w:rsidRPr="00B97B88">
              <w:t xml:space="preserve">: </w:t>
            </w:r>
            <w:r w:rsidR="00DF48EF">
              <w:t>Lewis Dot Structures, polarities, molecular shapes</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9648C4" w:rsidRPr="00B97B88" w:rsidRDefault="002E26FF" w:rsidP="002E26FF">
            <w:pPr>
              <w:pStyle w:val="Default"/>
              <w:rPr>
                <w:sz w:val="22"/>
                <w:szCs w:val="22"/>
              </w:rPr>
            </w:pPr>
            <w:r w:rsidRPr="00B97B88">
              <w:rPr>
                <w:sz w:val="22"/>
                <w:szCs w:val="22"/>
              </w:rPr>
              <w:t>CHEM1.PS</w:t>
            </w:r>
            <w:r w:rsidR="00442645">
              <w:rPr>
                <w:sz w:val="22"/>
                <w:szCs w:val="22"/>
              </w:rPr>
              <w:t>1</w:t>
            </w:r>
            <w:r w:rsidR="00650E18" w:rsidRPr="00B97B88">
              <w:rPr>
                <w:sz w:val="22"/>
                <w:szCs w:val="22"/>
              </w:rPr>
              <w:t xml:space="preserve"> </w:t>
            </w:r>
            <w:r w:rsidR="00E806DA" w:rsidRPr="00B97B88">
              <w:rPr>
                <w:sz w:val="22"/>
                <w:szCs w:val="22"/>
              </w:rPr>
              <w:t>1</w:t>
            </w:r>
            <w:r w:rsidR="00442645">
              <w:rPr>
                <w:sz w:val="22"/>
                <w:szCs w:val="22"/>
              </w:rPr>
              <w:t>4</w:t>
            </w:r>
            <w:r w:rsidRPr="00B97B88">
              <w:rPr>
                <w:sz w:val="22"/>
                <w:szCs w:val="22"/>
              </w:rPr>
              <w:t xml:space="preserve">) </w:t>
            </w:r>
            <w:r w:rsidR="00442645">
              <w:rPr>
                <w:rFonts w:ascii="Open Sans" w:eastAsia="Open Sans" w:hAnsi="Open Sans" w:cs="Open Sans"/>
                <w:sz w:val="22"/>
                <w:szCs w:val="22"/>
              </w:rPr>
              <w:t>Use Lewis dot structure and electronegativity differences to predict the polarities of simple molecules (linear, bent, trigonal planar, trigonal pyramidal, tetrahedral). Construct an argument to explain how electronegativity affects the polarity of basic chemical molecules</w:t>
            </w:r>
            <w:r w:rsidR="00650E18" w:rsidRPr="00B97B88">
              <w:rPr>
                <w:sz w:val="22"/>
                <w:szCs w:val="22"/>
              </w:rPr>
              <w:t xml:space="preserve">.  </w:t>
            </w:r>
          </w:p>
          <w:p w:rsidR="00650E18" w:rsidRPr="00B97B88" w:rsidRDefault="00650E18" w:rsidP="002E26FF">
            <w:pPr>
              <w:pStyle w:val="Default"/>
              <w:rPr>
                <w:sz w:val="22"/>
                <w:szCs w:val="22"/>
              </w:rPr>
            </w:pPr>
          </w:p>
          <w:p w:rsidR="002E26FF" w:rsidRPr="00B97B88" w:rsidRDefault="002E26FF" w:rsidP="002E26FF">
            <w:pPr>
              <w:pStyle w:val="Default"/>
              <w:rPr>
                <w:sz w:val="22"/>
                <w:szCs w:val="22"/>
              </w:rPr>
            </w:pPr>
            <w:r w:rsidRPr="00B97B88">
              <w:rPr>
                <w:sz w:val="22"/>
                <w:szCs w:val="22"/>
              </w:rPr>
              <w:t>This lesson emphasizes:</w:t>
            </w:r>
          </w:p>
          <w:p w:rsidR="002E26FF" w:rsidRPr="00B97B88" w:rsidRDefault="00442645" w:rsidP="002E26FF">
            <w:pPr>
              <w:pStyle w:val="Default"/>
              <w:rPr>
                <w:sz w:val="22"/>
                <w:szCs w:val="22"/>
              </w:rPr>
            </w:pPr>
            <w:r>
              <w:rPr>
                <w:sz w:val="22"/>
                <w:szCs w:val="22"/>
              </w:rPr>
              <w:t>SEP</w:t>
            </w:r>
            <w:r w:rsidR="00D853FB" w:rsidRPr="00B97B88">
              <w:rPr>
                <w:sz w:val="22"/>
                <w:szCs w:val="22"/>
              </w:rPr>
              <w:t xml:space="preserve">: </w:t>
            </w:r>
            <w:r>
              <w:rPr>
                <w:sz w:val="22"/>
                <w:szCs w:val="22"/>
              </w:rPr>
              <w:t>Developing and Using Models</w:t>
            </w:r>
          </w:p>
          <w:p w:rsidR="00944C7C" w:rsidRPr="00B97B88" w:rsidRDefault="00D853FB" w:rsidP="009648C4">
            <w:pPr>
              <w:pStyle w:val="Default"/>
              <w:rPr>
                <w:sz w:val="22"/>
                <w:szCs w:val="22"/>
              </w:rPr>
            </w:pPr>
            <w:r w:rsidRPr="00B97B88">
              <w:rPr>
                <w:sz w:val="22"/>
                <w:szCs w:val="22"/>
              </w:rPr>
              <w:t xml:space="preserve">CCC: </w:t>
            </w:r>
            <w:r w:rsidR="00E806DA" w:rsidRPr="00B97B88">
              <w:rPr>
                <w:sz w:val="22"/>
                <w:szCs w:val="22"/>
              </w:rPr>
              <w:t>Structure and Function</w:t>
            </w:r>
          </w:p>
          <w:p w:rsidR="009169B7" w:rsidRPr="00B97B88" w:rsidRDefault="009169B7" w:rsidP="009648C4">
            <w:pPr>
              <w:pStyle w:val="Default"/>
              <w:rPr>
                <w:sz w:val="22"/>
                <w:szCs w:val="22"/>
              </w:rPr>
            </w:pPr>
          </w:p>
          <w:p w:rsidR="009169B7" w:rsidRPr="00442645" w:rsidRDefault="009169B7" w:rsidP="009648C4">
            <w:pPr>
              <w:pStyle w:val="Default"/>
              <w:rPr>
                <w:rFonts w:asciiTheme="minorHAnsi" w:hAnsiTheme="minorHAnsi" w:cstheme="minorHAnsi"/>
                <w:color w:val="auto"/>
                <w:sz w:val="22"/>
                <w:szCs w:val="22"/>
              </w:rPr>
            </w:pPr>
            <w:r w:rsidRPr="00B97B88">
              <w:rPr>
                <w:sz w:val="22"/>
                <w:szCs w:val="22"/>
              </w:rPr>
              <w:t xml:space="preserve">Learning performance: </w:t>
            </w:r>
            <w:r w:rsidR="00442645" w:rsidRPr="00442645">
              <w:rPr>
                <w:rFonts w:asciiTheme="minorHAnsi" w:eastAsia="Open Sans" w:hAnsiTheme="minorHAnsi" w:cstheme="minorHAnsi"/>
                <w:sz w:val="22"/>
                <w:szCs w:val="22"/>
              </w:rPr>
              <w:t>Students will develop and use models to predict the polarity of simple molecules (linear, bent, trigonal planar, trigonal pyramidal, tetrahedral) highlighting the relationship between molecular structure and the polarity of compounds</w:t>
            </w:r>
            <w:r w:rsidR="00CC3C05" w:rsidRPr="00442645">
              <w:rPr>
                <w:rFonts w:asciiTheme="minorHAnsi" w:hAnsiTheme="minorHAnsi" w:cstheme="minorHAnsi"/>
                <w:color w:val="auto"/>
                <w:sz w:val="22"/>
                <w:szCs w:val="22"/>
              </w:rPr>
              <w:t xml:space="preserve">. </w:t>
            </w:r>
            <w:r w:rsidR="00650E18" w:rsidRPr="00442645">
              <w:rPr>
                <w:rFonts w:asciiTheme="minorHAnsi" w:hAnsiTheme="minorHAnsi" w:cstheme="minorHAnsi"/>
                <w:color w:val="auto"/>
                <w:sz w:val="22"/>
                <w:szCs w:val="22"/>
              </w:rPr>
              <w:t xml:space="preserve"> </w:t>
            </w: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CC3C05" w:rsidRDefault="00D853FB" w:rsidP="004161B5">
            <w:pPr>
              <w:spacing w:after="0" w:line="240" w:lineRule="auto"/>
            </w:pPr>
            <w:r w:rsidRPr="00B97B88">
              <w:t xml:space="preserve">I can </w:t>
            </w:r>
            <w:r w:rsidR="00442645">
              <w:t>create a VSEPR model from a Lewis structure for a compound</w:t>
            </w:r>
          </w:p>
          <w:p w:rsidR="00442645" w:rsidRDefault="00442645" w:rsidP="004161B5">
            <w:pPr>
              <w:spacing w:after="0" w:line="240" w:lineRule="auto"/>
            </w:pPr>
          </w:p>
          <w:p w:rsidR="00442645" w:rsidRPr="00B97B88" w:rsidRDefault="00442645" w:rsidP="004161B5">
            <w:pPr>
              <w:spacing w:after="0" w:line="240" w:lineRule="auto"/>
            </w:pPr>
            <w:r>
              <w:t xml:space="preserve">I understand that a molecule’s shape contributes to observed physical properties of a substance.  </w:t>
            </w:r>
          </w:p>
          <w:p w:rsidR="00963F08" w:rsidRPr="004161B5" w:rsidRDefault="00963F08" w:rsidP="0044264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442645" w:rsidRDefault="00D83922" w:rsidP="00D83922">
            <w:pPr>
              <w:rPr>
                <w:rFonts w:asciiTheme="minorHAnsi" w:hAnsiTheme="minorHAnsi" w:cstheme="minorHAnsi"/>
                <w:b/>
                <w:i/>
                <w:color w:val="0000CC"/>
              </w:rPr>
            </w:pPr>
            <w:r w:rsidRPr="00442645">
              <w:rPr>
                <w:rFonts w:asciiTheme="minorHAnsi" w:hAnsiTheme="minorHAnsi" w:cstheme="minorHAnsi"/>
                <w:b/>
                <w:u w:val="single"/>
              </w:rPr>
              <w:t>Activities &amp; Materials</w:t>
            </w:r>
            <w:r w:rsidRPr="00442645">
              <w:rPr>
                <w:rFonts w:asciiTheme="minorHAnsi" w:hAnsiTheme="minorHAnsi" w:cstheme="minorHAnsi"/>
              </w:rPr>
              <w:t xml:space="preserve"> </w:t>
            </w:r>
          </w:p>
          <w:p w:rsidR="00C0778E" w:rsidRPr="00442645" w:rsidRDefault="00C0778E" w:rsidP="00D83922">
            <w:pPr>
              <w:ind w:left="360"/>
              <w:rPr>
                <w:rFonts w:asciiTheme="minorHAnsi" w:hAnsiTheme="minorHAnsi" w:cstheme="minorHAnsi"/>
              </w:rPr>
            </w:pPr>
            <w:r w:rsidRPr="00442645">
              <w:rPr>
                <w:rFonts w:asciiTheme="minorHAnsi" w:hAnsiTheme="minorHAnsi" w:cstheme="minorHAnsi"/>
                <w:b/>
              </w:rPr>
              <w:t>Per student</w:t>
            </w:r>
            <w:r w:rsidRPr="00442645">
              <w:rPr>
                <w:rFonts w:asciiTheme="minorHAnsi" w:hAnsiTheme="minorHAnsi" w:cstheme="minorHAnsi"/>
              </w:rPr>
              <w:t>: Goggles</w:t>
            </w:r>
          </w:p>
          <w:p w:rsidR="00B94AAA" w:rsidRPr="00442645" w:rsidRDefault="005365E0" w:rsidP="00D83922">
            <w:pPr>
              <w:ind w:left="360"/>
              <w:rPr>
                <w:rFonts w:asciiTheme="minorHAnsi" w:hAnsiTheme="minorHAnsi" w:cstheme="minorHAnsi"/>
              </w:rPr>
            </w:pPr>
            <w:r w:rsidRPr="00442645">
              <w:rPr>
                <w:rFonts w:asciiTheme="minorHAnsi" w:hAnsiTheme="minorHAnsi" w:cstheme="minorHAnsi"/>
                <w:b/>
              </w:rPr>
              <w:t>P</w:t>
            </w:r>
            <w:r w:rsidR="00B94AAA" w:rsidRPr="00442645">
              <w:rPr>
                <w:rFonts w:asciiTheme="minorHAnsi" w:hAnsiTheme="minorHAnsi" w:cstheme="minorHAnsi"/>
                <w:b/>
              </w:rPr>
              <w:t>er group/pair</w:t>
            </w:r>
            <w:r w:rsidR="00B94AAA" w:rsidRPr="00442645">
              <w:rPr>
                <w:rFonts w:asciiTheme="minorHAnsi" w:hAnsiTheme="minorHAnsi" w:cstheme="minorHAnsi"/>
              </w:rPr>
              <w:t xml:space="preserve">: </w:t>
            </w:r>
            <w:r w:rsidR="00442645" w:rsidRPr="00442645">
              <w:rPr>
                <w:rFonts w:asciiTheme="minorHAnsi" w:hAnsiTheme="minorHAnsi" w:cstheme="minorHAnsi"/>
              </w:rPr>
              <w:t xml:space="preserve"> Pen or pencil, </w:t>
            </w:r>
            <w:r w:rsidR="00206EFC">
              <w:rPr>
                <w:rFonts w:asciiTheme="minorHAnsi" w:hAnsiTheme="minorHAnsi" w:cstheme="minorHAnsi"/>
              </w:rPr>
              <w:t>molecular model kit</w:t>
            </w:r>
            <w:r w:rsidR="00442645" w:rsidRPr="00442645">
              <w:rPr>
                <w:rFonts w:asciiTheme="minorHAnsi" w:hAnsiTheme="minorHAnsi" w:cstheme="minorHAnsi"/>
              </w:rPr>
              <w:t xml:space="preserve">, </w:t>
            </w:r>
            <w:proofErr w:type="spellStart"/>
            <w:r w:rsidR="00E922DC">
              <w:rPr>
                <w:rFonts w:asciiTheme="minorHAnsi" w:hAnsiTheme="minorHAnsi" w:cstheme="minorHAnsi"/>
              </w:rPr>
              <w:t>Chem</w:t>
            </w:r>
            <w:proofErr w:type="spellEnd"/>
            <w:r w:rsidR="00E922DC">
              <w:rPr>
                <w:rFonts w:asciiTheme="minorHAnsi" w:hAnsiTheme="minorHAnsi" w:cstheme="minorHAnsi"/>
              </w:rPr>
              <w:t xml:space="preserve"> Models Student Activity Sheet</w:t>
            </w:r>
          </w:p>
          <w:p w:rsidR="00D83922" w:rsidRPr="00442645" w:rsidRDefault="00B94AAA" w:rsidP="00D83922">
            <w:pPr>
              <w:ind w:left="360"/>
              <w:rPr>
                <w:rFonts w:asciiTheme="minorHAnsi" w:hAnsiTheme="minorHAnsi" w:cstheme="minorHAnsi"/>
              </w:rPr>
            </w:pPr>
            <w:r w:rsidRPr="00442645">
              <w:rPr>
                <w:rFonts w:asciiTheme="minorHAnsi" w:hAnsiTheme="minorHAnsi" w:cstheme="minorHAnsi"/>
                <w:b/>
              </w:rPr>
              <w:t>Per class</w:t>
            </w:r>
            <w:r w:rsidRPr="00442645">
              <w:rPr>
                <w:rFonts w:asciiTheme="minorHAnsi" w:hAnsiTheme="minorHAnsi" w:cstheme="minorHAnsi"/>
              </w:rPr>
              <w:t xml:space="preserve">: </w:t>
            </w:r>
            <w:r w:rsidR="00D5036D" w:rsidRPr="00442645">
              <w:rPr>
                <w:rFonts w:asciiTheme="minorHAnsi" w:hAnsiTheme="minorHAnsi" w:cstheme="minorHAnsi"/>
              </w:rPr>
              <w:t xml:space="preserve">White board and </w:t>
            </w:r>
            <w:r w:rsidR="002D2E49" w:rsidRPr="00442645">
              <w:rPr>
                <w:rFonts w:asciiTheme="minorHAnsi" w:hAnsiTheme="minorHAnsi" w:cstheme="minorHAnsi"/>
              </w:rPr>
              <w:t>Projector/computer/screen</w:t>
            </w:r>
            <w:r w:rsidR="00C0778E" w:rsidRPr="00442645">
              <w:rPr>
                <w:rFonts w:asciiTheme="minorHAnsi" w:hAnsiTheme="minorHAnsi" w:cstheme="minorHAnsi"/>
              </w:rPr>
              <w:t xml:space="preserve">, </w:t>
            </w:r>
            <w:r w:rsidR="00442645" w:rsidRPr="00442645">
              <w:rPr>
                <w:rFonts w:asciiTheme="minorHAnsi" w:hAnsiTheme="minorHAnsi" w:cstheme="minorHAnsi"/>
              </w:rPr>
              <w:t>Internet access</w:t>
            </w:r>
            <w:r w:rsidR="00DF48EF">
              <w:rPr>
                <w:rFonts w:asciiTheme="minorHAnsi" w:hAnsiTheme="minorHAnsi" w:cstheme="minorHAnsi"/>
              </w:rPr>
              <w:t xml:space="preserve">, </w:t>
            </w:r>
            <w:r w:rsidR="009004D6">
              <w:rPr>
                <w:rFonts w:asciiTheme="minorHAnsi" w:hAnsiTheme="minorHAnsi" w:cstheme="minorHAnsi"/>
              </w:rPr>
              <w:t>two pie pans</w:t>
            </w:r>
            <w:r w:rsidR="00DF48EF">
              <w:rPr>
                <w:rFonts w:asciiTheme="minorHAnsi" w:hAnsiTheme="minorHAnsi" w:cstheme="minorHAnsi"/>
              </w:rPr>
              <w:t xml:space="preserve">, acetone, </w:t>
            </w:r>
            <w:r w:rsidR="009004D6">
              <w:rPr>
                <w:rFonts w:asciiTheme="minorHAnsi" w:hAnsiTheme="minorHAnsi" w:cstheme="minorHAnsi"/>
              </w:rPr>
              <w:t xml:space="preserve">distilled water, three </w:t>
            </w:r>
            <w:r w:rsidR="00DF48EF">
              <w:rPr>
                <w:rFonts w:asciiTheme="minorHAnsi" w:hAnsiTheme="minorHAnsi" w:cstheme="minorHAnsi"/>
              </w:rPr>
              <w:t>Styrofoam cup</w:t>
            </w:r>
            <w:r w:rsidR="009004D6">
              <w:rPr>
                <w:rFonts w:asciiTheme="minorHAnsi" w:hAnsiTheme="minorHAnsi" w:cstheme="minorHAnsi"/>
              </w:rPr>
              <w:t>s</w:t>
            </w:r>
            <w:r w:rsidR="00C0778E" w:rsidRPr="00442645">
              <w:rPr>
                <w:rFonts w:asciiTheme="minorHAnsi" w:hAnsiTheme="minorHAnsi" w:cstheme="minorHAnsi"/>
              </w:rPr>
              <w:t xml:space="preserve">. </w:t>
            </w:r>
            <w:proofErr w:type="spellStart"/>
            <w:r w:rsidR="00E922DC">
              <w:rPr>
                <w:rFonts w:asciiTheme="minorHAnsi" w:hAnsiTheme="minorHAnsi" w:cstheme="minorHAnsi"/>
              </w:rPr>
              <w:t>Chem</w:t>
            </w:r>
            <w:proofErr w:type="spellEnd"/>
            <w:r w:rsidR="00E922DC">
              <w:rPr>
                <w:rFonts w:asciiTheme="minorHAnsi" w:hAnsiTheme="minorHAnsi" w:cstheme="minorHAnsi"/>
              </w:rPr>
              <w:t xml:space="preserve"> models teacher guide.</w:t>
            </w:r>
          </w:p>
          <w:p w:rsidR="00D83922" w:rsidRPr="00442645" w:rsidRDefault="00D83922" w:rsidP="00D83922">
            <w:pPr>
              <w:autoSpaceDE w:val="0"/>
              <w:autoSpaceDN w:val="0"/>
              <w:adjustRightInd w:val="0"/>
              <w:rPr>
                <w:rFonts w:asciiTheme="minorHAnsi" w:hAnsiTheme="minorHAnsi" w:cstheme="minorHAnsi"/>
                <w:bCs/>
                <w:color w:val="000000"/>
              </w:rPr>
            </w:pPr>
            <w:r w:rsidRPr="00442645">
              <w:rPr>
                <w:rFonts w:asciiTheme="minorHAnsi" w:hAnsiTheme="minorHAnsi" w:cstheme="minorHAnsi"/>
                <w:b/>
                <w:bCs/>
                <w:color w:val="000000"/>
              </w:rPr>
              <w:t>What if the technology is not working?</w:t>
            </w:r>
            <w:r w:rsidR="002D2E49" w:rsidRPr="00442645">
              <w:rPr>
                <w:rFonts w:asciiTheme="minorHAnsi" w:hAnsiTheme="minorHAnsi" w:cstheme="minorHAnsi"/>
                <w:b/>
                <w:bCs/>
                <w:color w:val="000000"/>
              </w:rPr>
              <w:t xml:space="preserve">  </w:t>
            </w:r>
          </w:p>
          <w:p w:rsidR="00944C7C" w:rsidRPr="00D83922" w:rsidRDefault="00D83922" w:rsidP="00442645">
            <w:pPr>
              <w:rPr>
                <w:b/>
              </w:rPr>
            </w:pPr>
            <w:r w:rsidRPr="00442645">
              <w:rPr>
                <w:b/>
              </w:rPr>
              <w:t>Routine for distributing materials</w:t>
            </w:r>
            <w:r w:rsidR="002D2E49" w:rsidRPr="00442645">
              <w:rPr>
                <w:b/>
              </w:rPr>
              <w:t xml:space="preserve">:  </w:t>
            </w:r>
            <w:r w:rsidR="00442645" w:rsidRPr="00442645">
              <w:t>Pass out the</w:t>
            </w:r>
            <w:r w:rsidR="00442645">
              <w:t xml:space="preserve"> worksheet</w:t>
            </w:r>
            <w:r w:rsidR="00FF3881">
              <w:t xml:space="preserve"> and molecular model kits</w:t>
            </w:r>
            <w:r w:rsidR="00442645">
              <w:t xml:space="preserve">.  Walk around to distribute toothpicks and gumdrops. </w:t>
            </w:r>
            <w:r w:rsidR="000E7FC5">
              <w:t xml:space="preserve">Prepare slips of paper with the molecules from page 6 of the teacher guide.  Distribute strips so that one member of each pair has a polar molecule and the other member has a non-polar molecule. </w:t>
            </w: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B86658" w:rsidRDefault="00FB14EB" w:rsidP="005B32B1">
            <w:pPr>
              <w:rPr>
                <w:b/>
                <w:i/>
                <w:color w:val="0000CC"/>
              </w:rPr>
            </w:pPr>
            <w:r w:rsidRPr="00B86658">
              <w:rPr>
                <w:b/>
                <w:bCs/>
                <w:color w:val="000000"/>
              </w:rPr>
              <w:lastRenderedPageBreak/>
              <w:t xml:space="preserve">Modifications/Plans for Diverse Learners </w:t>
            </w:r>
            <w:r w:rsidR="005B32B1" w:rsidRPr="00B86658">
              <w:rPr>
                <w:b/>
                <w:i/>
                <w:color w:val="0000CC"/>
              </w:rPr>
              <w:t>(NOTE: Clearly identify where you will use each of these in your lesson; do not just check the box!)</w:t>
            </w:r>
          </w:p>
          <w:p w:rsidR="00FB14EB" w:rsidRPr="00B86658" w:rsidRDefault="00FB14EB" w:rsidP="00D83922">
            <w:pPr>
              <w:spacing w:after="0"/>
              <w:ind w:left="1080"/>
              <w:rPr>
                <w:b/>
                <w:u w:val="single"/>
              </w:rPr>
            </w:pPr>
            <w:r w:rsidRPr="00B86658">
              <w:rPr>
                <w:b/>
                <w:u w:val="single"/>
              </w:rPr>
              <w:t>Differentiation</w:t>
            </w:r>
          </w:p>
          <w:p w:rsidR="00FB14EB" w:rsidRPr="00B86658" w:rsidRDefault="003D38C1" w:rsidP="00D83922">
            <w:pPr>
              <w:spacing w:after="0"/>
              <w:ind w:left="1080"/>
            </w:pPr>
            <w:r w:rsidRPr="00B86658">
              <w:rPr>
                <w:b/>
              </w:rPr>
              <w:t xml:space="preserve">____ </w:t>
            </w:r>
            <w:r w:rsidR="00FB14EB" w:rsidRPr="00B86658">
              <w:rPr>
                <w:b/>
              </w:rPr>
              <w:t>Flexible Grouping</w:t>
            </w:r>
            <w:r w:rsidR="00854840" w:rsidRPr="00B86658">
              <w:rPr>
                <w:b/>
              </w:rPr>
              <w:t xml:space="preserve">  </w:t>
            </w:r>
            <w:r w:rsidR="00854840" w:rsidRPr="00B86658">
              <w:t xml:space="preserve"> </w:t>
            </w:r>
          </w:p>
          <w:p w:rsidR="00FB14EB" w:rsidRPr="00B86658" w:rsidRDefault="00FB14EB" w:rsidP="00D83922">
            <w:pPr>
              <w:spacing w:after="0"/>
              <w:ind w:left="1080"/>
              <w:rPr>
                <w:b/>
              </w:rPr>
            </w:pPr>
            <w:r w:rsidRPr="00B86658">
              <w:rPr>
                <w:b/>
              </w:rPr>
              <w:t xml:space="preserve">____ Other </w:t>
            </w:r>
            <w:r w:rsidR="003D38C1" w:rsidRPr="00B86658">
              <w:t xml:space="preserve"> </w:t>
            </w:r>
          </w:p>
          <w:p w:rsidR="00FB14EB" w:rsidRPr="00B86658" w:rsidRDefault="00FB14EB" w:rsidP="00D83922">
            <w:pPr>
              <w:spacing w:after="0"/>
              <w:rPr>
                <w:b/>
                <w:u w:val="single"/>
              </w:rPr>
            </w:pPr>
          </w:p>
          <w:p w:rsidR="00FB14EB" w:rsidRPr="00B86658" w:rsidRDefault="00FB14EB" w:rsidP="00D83922">
            <w:pPr>
              <w:spacing w:after="0"/>
              <w:ind w:left="1080"/>
              <w:rPr>
                <w:b/>
                <w:u w:val="single"/>
              </w:rPr>
            </w:pPr>
            <w:r w:rsidRPr="00B86658">
              <w:rPr>
                <w:b/>
                <w:u w:val="single"/>
              </w:rPr>
              <w:t>Accommodations</w:t>
            </w:r>
          </w:p>
          <w:p w:rsidR="00FB14EB" w:rsidRPr="00B86658" w:rsidRDefault="00FB14EB" w:rsidP="00D83922">
            <w:pPr>
              <w:spacing w:after="0"/>
              <w:ind w:left="1080"/>
              <w:rPr>
                <w:b/>
              </w:rPr>
            </w:pPr>
            <w:r w:rsidRPr="00B86658">
              <w:rPr>
                <w:b/>
              </w:rPr>
              <w:t xml:space="preserve">___ Preferential Seating ___ Extended Time ___ Small Group ___ Peer Tutoring </w:t>
            </w:r>
          </w:p>
          <w:p w:rsidR="00FB14EB" w:rsidRPr="00B86658" w:rsidRDefault="00FB14EB" w:rsidP="00D83922">
            <w:pPr>
              <w:spacing w:after="0"/>
              <w:ind w:left="1080"/>
              <w:rPr>
                <w:b/>
              </w:rPr>
            </w:pPr>
            <w:r w:rsidRPr="00B86658">
              <w:rPr>
                <w:b/>
              </w:rPr>
              <w:t xml:space="preserve">___ Modified Assignments ___ Other </w:t>
            </w:r>
          </w:p>
          <w:p w:rsidR="00854840" w:rsidRPr="00B86658" w:rsidRDefault="00854840" w:rsidP="00D83922">
            <w:pPr>
              <w:spacing w:after="0"/>
              <w:ind w:left="1080"/>
              <w:rPr>
                <w:b/>
                <w:u w:val="single"/>
              </w:rPr>
            </w:pPr>
          </w:p>
          <w:p w:rsidR="00FB14EB" w:rsidRPr="00B86658" w:rsidRDefault="00FB14EB" w:rsidP="00D83922">
            <w:pPr>
              <w:spacing w:after="0"/>
              <w:ind w:left="1080"/>
            </w:pPr>
            <w:r w:rsidRPr="00B86658">
              <w:rPr>
                <w:b/>
                <w:u w:val="single"/>
              </w:rPr>
              <w:t>Early Finishers:</w:t>
            </w:r>
            <w:r w:rsidR="00854840" w:rsidRPr="00B86658">
              <w:t xml:space="preserve">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9C211B">
            <w:pPr>
              <w:spacing w:after="0" w:line="240" w:lineRule="auto"/>
            </w:pPr>
          </w:p>
          <w:p w:rsidR="005477C5" w:rsidRDefault="005477C5" w:rsidP="009C211B">
            <w:pPr>
              <w:spacing w:after="0" w:line="240" w:lineRule="auto"/>
            </w:pPr>
            <w:r>
              <w:t xml:space="preserve">Gain the whole group’s attention.  Dissolve a Styrofoam cup in a pie pan of acetone. </w:t>
            </w:r>
          </w:p>
          <w:p w:rsidR="005477C5" w:rsidRDefault="005477C5" w:rsidP="009C211B">
            <w:pPr>
              <w:spacing w:after="0" w:line="240" w:lineRule="auto"/>
            </w:pPr>
          </w:p>
          <w:p w:rsidR="005477C5" w:rsidRPr="004161B5" w:rsidRDefault="005477C5" w:rsidP="009C211B">
            <w:pPr>
              <w:spacing w:after="0" w:line="240" w:lineRule="auto"/>
            </w:pPr>
            <w:r>
              <w:t xml:space="preserve">Volunteer: Post the “I can” statements. </w:t>
            </w: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820D76" w:rsidRPr="00B86658" w:rsidRDefault="00746BE6" w:rsidP="00B66305">
            <w:pPr>
              <w:autoSpaceDE w:val="0"/>
              <w:autoSpaceDN w:val="0"/>
              <w:adjustRightInd w:val="0"/>
              <w:rPr>
                <w:rFonts w:asciiTheme="minorHAnsi" w:hAnsiTheme="minorHAnsi" w:cstheme="minorHAnsi"/>
              </w:rPr>
            </w:pPr>
            <w:r w:rsidRPr="00B86658">
              <w:rPr>
                <w:rFonts w:asciiTheme="minorHAnsi" w:hAnsiTheme="minorHAnsi" w:cstheme="minorHAnsi"/>
                <w:b/>
                <w:bCs/>
                <w:iCs/>
                <w:color w:val="000000"/>
                <w:u w:val="single"/>
              </w:rPr>
              <w:t>Introduction</w:t>
            </w:r>
            <w:r w:rsidRPr="00B86658">
              <w:rPr>
                <w:rFonts w:asciiTheme="minorHAnsi" w:hAnsiTheme="minorHAnsi" w:cstheme="minorHAnsi"/>
                <w:bCs/>
                <w:iCs/>
                <w:color w:val="000000"/>
              </w:rPr>
              <w:t xml:space="preserve"> </w:t>
            </w:r>
          </w:p>
          <w:p w:rsidR="005477C5" w:rsidRDefault="005477C5" w:rsidP="005477C5">
            <w:pPr>
              <w:spacing w:after="0" w:line="240" w:lineRule="auto"/>
              <w:rPr>
                <w:rFonts w:ascii="Times New Roman" w:hAnsi="Times New Roman"/>
                <w:sz w:val="24"/>
                <w:szCs w:val="24"/>
              </w:rPr>
            </w:pPr>
            <w:r>
              <w:rPr>
                <w:rFonts w:asciiTheme="minorHAnsi" w:hAnsiTheme="minorHAnsi" w:cstheme="minorHAnsi"/>
              </w:rPr>
              <w:t xml:space="preserve">Ask students, “What is in the beaker?”  </w:t>
            </w:r>
            <w:r w:rsidRPr="005477C5">
              <w:rPr>
                <w:rFonts w:asciiTheme="minorHAnsi" w:hAnsiTheme="minorHAnsi" w:cstheme="minorHAnsi"/>
              </w:rPr>
              <w:t>Draw the Lewis structures for acetone and water on the board.  Have students discuss with partners two similarities and two differences in the molecules.  Have students share these observations.  Use two pie pans or glass pans and pour 100 mL of distilled water into one pan and 100 mL of acetone into the other.  Have students make observations about the two liquids before completing the demonstration.  Place a Styrofoam cup in the pan with acetone.  Students will make observations that the acetone dissolves the Styrofoam.  (This is because the acetone contains nonpolar segments, and therefore, it dissolves the nonpolar monomer of the Styrofoam).  Then, repeat the experiment using the distilled water using a second Styrofoam cup.  (Nothing happens this time because water is a polar molecule, while the Styrofoam is nonpolar).  Instructor will then explain the difference in polar and nonpolar molecules and the effect of molecular shape and electronegativity differences on the polarity of molecules.</w:t>
            </w:r>
            <w:r>
              <w:rPr>
                <w:rFonts w:ascii="Times New Roman" w:hAnsi="Times New Roman"/>
                <w:sz w:val="24"/>
                <w:szCs w:val="24"/>
              </w:rPr>
              <w:t xml:space="preserve">        </w:t>
            </w:r>
          </w:p>
          <w:p w:rsidR="005477C5" w:rsidRDefault="005477C5" w:rsidP="005477C5">
            <w:pPr>
              <w:spacing w:after="0" w:line="240" w:lineRule="auto"/>
              <w:rPr>
                <w:rFonts w:ascii="Times New Roman" w:hAnsi="Times New Roman"/>
                <w:sz w:val="24"/>
                <w:szCs w:val="24"/>
              </w:rPr>
            </w:pPr>
          </w:p>
          <w:p w:rsidR="00B97B88" w:rsidRPr="00B97B88" w:rsidRDefault="00DB16FC" w:rsidP="00944C7C">
            <w:pPr>
              <w:autoSpaceDE w:val="0"/>
              <w:autoSpaceDN w:val="0"/>
              <w:adjustRightInd w:val="0"/>
              <w:rPr>
                <w:rFonts w:asciiTheme="minorHAnsi" w:hAnsiTheme="minorHAnsi" w:cstheme="minorHAnsi"/>
              </w:rPr>
            </w:pPr>
            <w:r>
              <w:rPr>
                <w:rFonts w:asciiTheme="minorHAnsi" w:hAnsiTheme="minorHAnsi" w:cstheme="minorHAnsi"/>
              </w:rPr>
              <w:t xml:space="preserve">Write and tell students that they will be using Valence Shell Electron Pair Repulsion (VSEPR) Theory.  </w:t>
            </w:r>
          </w:p>
          <w:p w:rsidR="00A219F2" w:rsidRDefault="00523163" w:rsidP="00944C7C">
            <w:pPr>
              <w:autoSpaceDE w:val="0"/>
              <w:autoSpaceDN w:val="0"/>
              <w:adjustRightInd w:val="0"/>
              <w:rPr>
                <w:rFonts w:asciiTheme="minorHAnsi" w:hAnsiTheme="minorHAnsi" w:cstheme="minorHAnsi"/>
              </w:rPr>
            </w:pPr>
            <w:r w:rsidRPr="00B86658">
              <w:rPr>
                <w:rFonts w:asciiTheme="minorHAnsi" w:hAnsiTheme="minorHAnsi" w:cstheme="minorHAnsi"/>
                <w:b/>
                <w:u w:val="single"/>
              </w:rPr>
              <w:t>Middle</w:t>
            </w:r>
            <w:r w:rsidR="00820D76" w:rsidRPr="00B86658">
              <w:rPr>
                <w:rFonts w:asciiTheme="minorHAnsi" w:hAnsiTheme="minorHAnsi" w:cstheme="minorHAnsi"/>
              </w:rPr>
              <w:t xml:space="preserve">  </w:t>
            </w:r>
          </w:p>
          <w:p w:rsidR="00B97B88" w:rsidRDefault="00B97B88" w:rsidP="00944C7C">
            <w:pPr>
              <w:autoSpaceDE w:val="0"/>
              <w:autoSpaceDN w:val="0"/>
              <w:adjustRightInd w:val="0"/>
              <w:rPr>
                <w:rFonts w:asciiTheme="minorHAnsi" w:hAnsiTheme="minorHAnsi" w:cstheme="minorHAnsi"/>
              </w:rPr>
            </w:pPr>
            <w:r>
              <w:rPr>
                <w:rFonts w:asciiTheme="minorHAnsi" w:hAnsiTheme="minorHAnsi" w:cstheme="minorHAnsi"/>
              </w:rPr>
              <w:t>Show a video describing an ionic compound dissolving in water:</w:t>
            </w:r>
          </w:p>
          <w:p w:rsidR="00DB16FC" w:rsidRDefault="00197EAB" w:rsidP="00DB16FC">
            <w:pPr>
              <w:contextualSpacing/>
              <w:rPr>
                <w:rFonts w:ascii="Times New Roman" w:hAnsi="Times New Roman"/>
                <w:sz w:val="24"/>
                <w:szCs w:val="24"/>
              </w:rPr>
            </w:pPr>
            <w:hyperlink r:id="rId7" w:history="1">
              <w:r w:rsidR="00DB16FC" w:rsidRPr="00877445">
                <w:rPr>
                  <w:rStyle w:val="Hyperlink"/>
                  <w:rFonts w:ascii="Times New Roman" w:hAnsi="Times New Roman"/>
                  <w:sz w:val="24"/>
                  <w:szCs w:val="24"/>
                </w:rPr>
                <w:t>https://www.youtube.com/watch?time_continue=5&amp;v=nxebQZUVvTg</w:t>
              </w:r>
            </w:hyperlink>
          </w:p>
          <w:p w:rsidR="00DB16FC" w:rsidRDefault="00197EAB" w:rsidP="00DB16FC">
            <w:pPr>
              <w:contextualSpacing/>
              <w:rPr>
                <w:rFonts w:ascii="Times New Roman" w:hAnsi="Times New Roman"/>
                <w:sz w:val="24"/>
                <w:szCs w:val="24"/>
              </w:rPr>
            </w:pPr>
            <w:hyperlink r:id="rId8" w:history="1">
              <w:r w:rsidR="00DB16FC" w:rsidRPr="00877445">
                <w:rPr>
                  <w:rStyle w:val="Hyperlink"/>
                  <w:rFonts w:ascii="Times New Roman" w:hAnsi="Times New Roman"/>
                  <w:sz w:val="24"/>
                  <w:szCs w:val="24"/>
                </w:rPr>
                <w:t>https://www.youtube.com/watch?v=cdo6FtSU_k8</w:t>
              </w:r>
            </w:hyperlink>
          </w:p>
          <w:p w:rsidR="00DB16FC" w:rsidRDefault="00197EAB" w:rsidP="00DB16FC">
            <w:pPr>
              <w:contextualSpacing/>
              <w:rPr>
                <w:rFonts w:ascii="Times New Roman" w:hAnsi="Times New Roman"/>
                <w:sz w:val="24"/>
                <w:szCs w:val="24"/>
              </w:rPr>
            </w:pPr>
            <w:hyperlink r:id="rId9" w:history="1">
              <w:r w:rsidR="00DB16FC" w:rsidRPr="00877445">
                <w:rPr>
                  <w:rStyle w:val="Hyperlink"/>
                  <w:rFonts w:ascii="Times New Roman" w:hAnsi="Times New Roman"/>
                  <w:sz w:val="24"/>
                  <w:szCs w:val="24"/>
                </w:rPr>
                <w:t>https://www.youtube.com/watch?time_continue=2&amp;v=Qcy-TjJ10xk</w:t>
              </w:r>
            </w:hyperlink>
          </w:p>
          <w:p w:rsidR="00B97B88" w:rsidRDefault="00B97B88" w:rsidP="00944C7C">
            <w:pPr>
              <w:autoSpaceDE w:val="0"/>
              <w:autoSpaceDN w:val="0"/>
              <w:adjustRightInd w:val="0"/>
              <w:rPr>
                <w:rFonts w:asciiTheme="minorHAnsi" w:hAnsiTheme="minorHAnsi" w:cstheme="minorHAnsi"/>
              </w:rPr>
            </w:pPr>
          </w:p>
          <w:p w:rsidR="00206EFC" w:rsidRPr="00206EFC" w:rsidRDefault="00206EFC" w:rsidP="00206EFC">
            <w:pPr>
              <w:spacing w:after="0" w:line="240" w:lineRule="auto"/>
              <w:rPr>
                <w:rFonts w:asciiTheme="minorHAnsi" w:hAnsiTheme="minorHAnsi" w:cstheme="minorHAnsi"/>
              </w:rPr>
            </w:pPr>
            <w:r>
              <w:rPr>
                <w:rFonts w:asciiTheme="minorHAnsi" w:hAnsiTheme="minorHAnsi" w:cstheme="minorHAnsi"/>
              </w:rPr>
              <w:t xml:space="preserve">Arrange students in pairs.  </w:t>
            </w:r>
            <w:r w:rsidRPr="00206EFC">
              <w:rPr>
                <w:rFonts w:asciiTheme="minorHAnsi" w:hAnsiTheme="minorHAnsi" w:cstheme="minorHAnsi"/>
              </w:rPr>
              <w:t>Distribute copies of the student activity</w:t>
            </w:r>
            <w:r>
              <w:rPr>
                <w:rFonts w:asciiTheme="minorHAnsi" w:hAnsiTheme="minorHAnsi" w:cstheme="minorHAnsi"/>
              </w:rPr>
              <w:t xml:space="preserve"> sheet.  </w:t>
            </w:r>
            <w:r w:rsidR="00FC1DA3">
              <w:rPr>
                <w:rFonts w:asciiTheme="minorHAnsi" w:hAnsiTheme="minorHAnsi" w:cstheme="minorHAnsi"/>
              </w:rPr>
              <w:t xml:space="preserve">Distribute slips of paper with molecules on them so that each pair of students has one </w:t>
            </w:r>
            <w:r w:rsidRPr="00206EFC">
              <w:rPr>
                <w:rFonts w:asciiTheme="minorHAnsi" w:hAnsiTheme="minorHAnsi" w:cstheme="minorHAnsi"/>
              </w:rPr>
              <w:t xml:space="preserve">polar molecule and </w:t>
            </w:r>
            <w:r w:rsidR="00FC1DA3">
              <w:rPr>
                <w:rFonts w:asciiTheme="minorHAnsi" w:hAnsiTheme="minorHAnsi" w:cstheme="minorHAnsi"/>
              </w:rPr>
              <w:t xml:space="preserve">one non-polar molecule. </w:t>
            </w:r>
            <w:r w:rsidRPr="00206EFC">
              <w:rPr>
                <w:rFonts w:asciiTheme="minorHAnsi" w:hAnsiTheme="minorHAnsi" w:cstheme="minorHAnsi"/>
              </w:rPr>
              <w:t xml:space="preserve"> Students will complete the activity by drawing the Lewis structure of their compound, identifying the elements within the compound,</w:t>
            </w:r>
            <w:r>
              <w:rPr>
                <w:rFonts w:asciiTheme="minorHAnsi" w:hAnsiTheme="minorHAnsi" w:cstheme="minorHAnsi"/>
              </w:rPr>
              <w:t xml:space="preserve"> identifying</w:t>
            </w:r>
            <w:r w:rsidRPr="00206EFC">
              <w:rPr>
                <w:rFonts w:asciiTheme="minorHAnsi" w:hAnsiTheme="minorHAnsi" w:cstheme="minorHAnsi"/>
              </w:rPr>
              <w:t xml:space="preserve"> the shape of compound, and</w:t>
            </w:r>
            <w:r w:rsidR="00FF3881">
              <w:rPr>
                <w:rFonts w:asciiTheme="minorHAnsi" w:hAnsiTheme="minorHAnsi" w:cstheme="minorHAnsi"/>
              </w:rPr>
              <w:t xml:space="preserve"> identifying</w:t>
            </w:r>
            <w:r w:rsidRPr="00206EFC">
              <w:rPr>
                <w:rFonts w:asciiTheme="minorHAnsi" w:hAnsiTheme="minorHAnsi" w:cstheme="minorHAnsi"/>
              </w:rPr>
              <w:t xml:space="preserve"> the electronegativity.  Students will then create a model of their compound using a molecul</w:t>
            </w:r>
            <w:r>
              <w:rPr>
                <w:rFonts w:asciiTheme="minorHAnsi" w:hAnsiTheme="minorHAnsi" w:cstheme="minorHAnsi"/>
              </w:rPr>
              <w:t>ar</w:t>
            </w:r>
            <w:r w:rsidRPr="00206EFC">
              <w:rPr>
                <w:rFonts w:asciiTheme="minorHAnsi" w:hAnsiTheme="minorHAnsi" w:cstheme="minorHAnsi"/>
              </w:rPr>
              <w:t xml:space="preserve"> model kit.  Students will compare both models</w:t>
            </w:r>
            <w:r w:rsidR="00FF3881">
              <w:rPr>
                <w:rFonts w:asciiTheme="minorHAnsi" w:hAnsiTheme="minorHAnsi" w:cstheme="minorHAnsi"/>
              </w:rPr>
              <w:t>.</w:t>
            </w:r>
            <w:r w:rsidRPr="00206EFC">
              <w:rPr>
                <w:rFonts w:asciiTheme="minorHAnsi" w:hAnsiTheme="minorHAnsi" w:cstheme="minorHAnsi"/>
              </w:rPr>
              <w:t xml:space="preserve">  Together the partners will determine if the compounds are polar or nonpolar based on the information collected.      </w:t>
            </w:r>
          </w:p>
          <w:p w:rsidR="00206EFC" w:rsidRDefault="00206EFC" w:rsidP="00944C7C">
            <w:pPr>
              <w:autoSpaceDE w:val="0"/>
              <w:autoSpaceDN w:val="0"/>
              <w:adjustRightInd w:val="0"/>
              <w:rPr>
                <w:rFonts w:asciiTheme="minorHAnsi" w:hAnsiTheme="minorHAnsi" w:cstheme="minorHAnsi"/>
              </w:rPr>
            </w:pPr>
          </w:p>
          <w:p w:rsidR="00854840" w:rsidRPr="00B86658" w:rsidRDefault="00854840" w:rsidP="00FF1448">
            <w:pPr>
              <w:spacing w:after="0" w:line="240" w:lineRule="auto"/>
              <w:rPr>
                <w:rFonts w:asciiTheme="minorHAnsi" w:hAnsiTheme="minorHAnsi" w:cstheme="minorHAnsi"/>
              </w:rPr>
            </w:pPr>
            <w:r w:rsidRPr="00B86658">
              <w:rPr>
                <w:rFonts w:asciiTheme="minorHAnsi" w:hAnsiTheme="minorHAnsi" w:cstheme="minorHAnsi"/>
                <w:b/>
                <w:u w:val="single"/>
              </w:rPr>
              <w:lastRenderedPageBreak/>
              <w:t>End/Closure</w:t>
            </w:r>
            <w:r w:rsidR="00207618" w:rsidRPr="00B86658">
              <w:rPr>
                <w:rFonts w:asciiTheme="minorHAnsi" w:hAnsiTheme="minorHAnsi" w:cstheme="minorHAnsi"/>
              </w:rPr>
              <w:t xml:space="preserve">:  </w:t>
            </w:r>
          </w:p>
          <w:p w:rsidR="00D5036D" w:rsidRPr="002500E7" w:rsidRDefault="002500E7" w:rsidP="00944C7C">
            <w:pPr>
              <w:rPr>
                <w:rFonts w:asciiTheme="minorHAnsi" w:hAnsiTheme="minorHAnsi" w:cstheme="minorHAnsi"/>
              </w:rPr>
            </w:pPr>
            <w:r>
              <w:rPr>
                <w:rFonts w:asciiTheme="minorHAnsi" w:hAnsiTheme="minorHAnsi" w:cstheme="minorHAnsi"/>
              </w:rPr>
              <w:t>Reg</w:t>
            </w:r>
            <w:r w:rsidR="009A66DD">
              <w:rPr>
                <w:rFonts w:asciiTheme="minorHAnsi" w:hAnsiTheme="minorHAnsi" w:cstheme="minorHAnsi"/>
              </w:rPr>
              <w:t>ain the whole group’s attention.  Call on individuals to describe their models and explain why the molecule is po</w:t>
            </w:r>
            <w:r w:rsidR="00E17016">
              <w:rPr>
                <w:rFonts w:asciiTheme="minorHAnsi" w:hAnsiTheme="minorHAnsi" w:cstheme="minorHAnsi"/>
              </w:rPr>
              <w:t>l</w:t>
            </w:r>
            <w:bookmarkStart w:id="0" w:name="_GoBack"/>
            <w:bookmarkEnd w:id="0"/>
            <w:r w:rsidR="009A66DD">
              <w:rPr>
                <w:rFonts w:asciiTheme="minorHAnsi" w:hAnsiTheme="minorHAnsi" w:cstheme="minorHAnsi"/>
              </w:rPr>
              <w:t xml:space="preserve">ar or non-polar.  See if the whole group agrees.  </w:t>
            </w:r>
            <w:r>
              <w:rPr>
                <w:rFonts w:asciiTheme="minorHAnsi" w:hAnsiTheme="minorHAnsi" w:cstheme="minorHAnsi"/>
              </w:rPr>
              <w:t xml:space="preserve">      </w:t>
            </w:r>
          </w:p>
          <w:p w:rsidR="00944C7C" w:rsidRPr="00B86658" w:rsidRDefault="00746BE6" w:rsidP="00944C7C">
            <w:pPr>
              <w:rPr>
                <w:rFonts w:asciiTheme="minorHAnsi" w:hAnsiTheme="minorHAnsi" w:cstheme="minorHAnsi"/>
                <w:b/>
                <w:i/>
                <w:color w:val="0000CC"/>
              </w:rPr>
            </w:pPr>
            <w:r w:rsidRPr="00B86658">
              <w:rPr>
                <w:rFonts w:asciiTheme="minorHAnsi" w:hAnsiTheme="minorHAnsi" w:cstheme="minorHAnsi"/>
                <w:b/>
                <w:u w:val="single"/>
              </w:rPr>
              <w:t xml:space="preserve">Motivating Students </w:t>
            </w:r>
          </w:p>
          <w:p w:rsidR="00D5036D" w:rsidRPr="00B86658" w:rsidRDefault="00D5036D" w:rsidP="00746BE6">
            <w:pPr>
              <w:ind w:firstLine="360"/>
              <w:rPr>
                <w:rFonts w:asciiTheme="minorHAnsi" w:hAnsiTheme="minorHAnsi" w:cstheme="minorHAnsi"/>
              </w:rPr>
            </w:pPr>
            <w:r w:rsidRPr="00B86658">
              <w:rPr>
                <w:rFonts w:asciiTheme="minorHAnsi" w:hAnsiTheme="minorHAnsi" w:cstheme="minorHAnsi"/>
              </w:rPr>
              <w:t>_x</w:t>
            </w:r>
            <w:proofErr w:type="gramStart"/>
            <w:r w:rsidRPr="00B86658">
              <w:rPr>
                <w:rFonts w:asciiTheme="minorHAnsi" w:hAnsiTheme="minorHAnsi" w:cstheme="minorHAnsi"/>
              </w:rPr>
              <w:t xml:space="preserve">_ </w:t>
            </w:r>
            <w:r w:rsidR="003809C5" w:rsidRPr="00B86658">
              <w:rPr>
                <w:rFonts w:asciiTheme="minorHAnsi" w:hAnsiTheme="minorHAnsi" w:cstheme="minorHAnsi"/>
              </w:rPr>
              <w:t xml:space="preserve"> </w:t>
            </w:r>
            <w:r w:rsidR="002500E7">
              <w:rPr>
                <w:rFonts w:asciiTheme="minorHAnsi" w:hAnsiTheme="minorHAnsi" w:cstheme="minorHAnsi"/>
              </w:rPr>
              <w:t>Lab</w:t>
            </w:r>
            <w:proofErr w:type="gramEnd"/>
            <w:r w:rsidR="002500E7">
              <w:rPr>
                <w:rFonts w:asciiTheme="minorHAnsi" w:hAnsiTheme="minorHAnsi" w:cstheme="minorHAnsi"/>
              </w:rPr>
              <w:t xml:space="preserve"> &amp; Verbal reinforcement</w:t>
            </w:r>
          </w:p>
          <w:p w:rsidR="00944C7C" w:rsidRPr="00B86658" w:rsidRDefault="00746BE6" w:rsidP="00944C7C">
            <w:pPr>
              <w:rPr>
                <w:rFonts w:asciiTheme="minorHAnsi" w:hAnsiTheme="minorHAnsi" w:cstheme="minorHAnsi"/>
                <w:b/>
                <w:i/>
                <w:color w:val="0000CC"/>
              </w:rPr>
            </w:pPr>
            <w:r w:rsidRPr="00B86658">
              <w:rPr>
                <w:rFonts w:asciiTheme="minorHAnsi" w:hAnsiTheme="minorHAnsi" w:cstheme="minorHAnsi"/>
                <w:b/>
                <w:u w:val="single"/>
              </w:rPr>
              <w:t xml:space="preserve">Presenting Instructional Content </w:t>
            </w:r>
            <w:r w:rsidR="00D5036D" w:rsidRPr="00B86658">
              <w:rPr>
                <w:rFonts w:asciiTheme="minorHAnsi" w:hAnsiTheme="minorHAnsi" w:cstheme="minorHAnsi"/>
                <w:b/>
                <w:u w:val="single"/>
              </w:rPr>
              <w:t xml:space="preserve"> </w:t>
            </w:r>
          </w:p>
          <w:p w:rsidR="00D5036D" w:rsidRDefault="00746BE6" w:rsidP="00746BE6">
            <w:pPr>
              <w:ind w:left="360"/>
              <w:rPr>
                <w:rFonts w:asciiTheme="minorHAnsi" w:hAnsiTheme="minorHAnsi" w:cstheme="minorHAnsi"/>
              </w:rPr>
            </w:pPr>
            <w:r w:rsidRPr="00B86658">
              <w:rPr>
                <w:rFonts w:asciiTheme="minorHAnsi" w:hAnsiTheme="minorHAnsi" w:cstheme="minorHAnsi"/>
              </w:rPr>
              <w:t>_</w:t>
            </w:r>
            <w:r w:rsidR="00D5036D" w:rsidRPr="00B86658">
              <w:rPr>
                <w:rFonts w:asciiTheme="minorHAnsi" w:hAnsiTheme="minorHAnsi" w:cstheme="minorHAnsi"/>
              </w:rPr>
              <w:t>x</w:t>
            </w:r>
            <w:r w:rsidRPr="00B86658">
              <w:rPr>
                <w:rFonts w:asciiTheme="minorHAnsi" w:hAnsiTheme="minorHAnsi" w:cstheme="minorHAnsi"/>
              </w:rPr>
              <w:t xml:space="preserve">_ Guided </w:t>
            </w:r>
            <w:r w:rsidR="00B66305" w:rsidRPr="00B86658">
              <w:rPr>
                <w:rFonts w:asciiTheme="minorHAnsi" w:hAnsiTheme="minorHAnsi" w:cstheme="minorHAnsi"/>
              </w:rPr>
              <w:t>p</w:t>
            </w:r>
            <w:r w:rsidRPr="00B86658">
              <w:rPr>
                <w:rFonts w:asciiTheme="minorHAnsi" w:hAnsiTheme="minorHAnsi" w:cstheme="minorHAnsi"/>
              </w:rPr>
              <w:t>ractice</w:t>
            </w:r>
            <w:r w:rsidR="00D5036D" w:rsidRPr="00B86658">
              <w:rPr>
                <w:rFonts w:asciiTheme="minorHAnsi" w:hAnsiTheme="minorHAnsi" w:cstheme="minorHAnsi"/>
              </w:rPr>
              <w:t xml:space="preserve"> The </w:t>
            </w:r>
            <w:r w:rsidR="00B66305" w:rsidRPr="00B86658">
              <w:rPr>
                <w:rFonts w:asciiTheme="minorHAnsi" w:hAnsiTheme="minorHAnsi" w:cstheme="minorHAnsi"/>
              </w:rPr>
              <w:t xml:space="preserve">worksheet provides steps for the lab. </w:t>
            </w:r>
            <w:r w:rsidR="00D5036D" w:rsidRPr="00B86658">
              <w:rPr>
                <w:rFonts w:asciiTheme="minorHAnsi" w:hAnsiTheme="minorHAnsi" w:cstheme="minorHAnsi"/>
              </w:rPr>
              <w:t xml:space="preserve"> </w:t>
            </w:r>
          </w:p>
          <w:p w:rsidR="009A66DD" w:rsidRPr="00B86658" w:rsidRDefault="009A66DD" w:rsidP="00746BE6">
            <w:pPr>
              <w:ind w:left="360"/>
              <w:rPr>
                <w:rFonts w:asciiTheme="minorHAnsi" w:hAnsiTheme="minorHAnsi" w:cstheme="minorHAnsi"/>
              </w:rPr>
            </w:pPr>
            <w:r>
              <w:rPr>
                <w:rFonts w:asciiTheme="minorHAnsi" w:hAnsiTheme="minorHAnsi" w:cstheme="minorHAnsi"/>
              </w:rPr>
              <w:t>_x_ Video Covers VSEPR theory</w:t>
            </w:r>
          </w:p>
          <w:p w:rsidR="00523163" w:rsidRPr="00B86658" w:rsidRDefault="00523163" w:rsidP="00746BE6">
            <w:pPr>
              <w:autoSpaceDE w:val="0"/>
              <w:autoSpaceDN w:val="0"/>
              <w:adjustRightInd w:val="0"/>
              <w:ind w:firstLine="360"/>
              <w:rPr>
                <w:rFonts w:asciiTheme="minorHAnsi" w:hAnsiTheme="minorHAnsi" w:cstheme="minorHAnsi"/>
                <w:b/>
                <w:bCs/>
                <w:iCs/>
                <w:color w:val="000000"/>
                <w:u w:val="single"/>
              </w:rPr>
            </w:pPr>
          </w:p>
          <w:p w:rsidR="00746BE6" w:rsidRPr="00B86658" w:rsidRDefault="00746BE6" w:rsidP="00746BE6">
            <w:pPr>
              <w:autoSpaceDE w:val="0"/>
              <w:autoSpaceDN w:val="0"/>
              <w:adjustRightInd w:val="0"/>
              <w:ind w:firstLine="360"/>
              <w:rPr>
                <w:rFonts w:asciiTheme="minorHAnsi" w:hAnsiTheme="minorHAnsi" w:cstheme="minorHAnsi"/>
                <w:b/>
                <w:bCs/>
                <w:i/>
                <w:iCs/>
                <w:color w:val="000000"/>
              </w:rPr>
            </w:pPr>
            <w:r w:rsidRPr="00B86658">
              <w:rPr>
                <w:rFonts w:asciiTheme="minorHAnsi" w:hAnsiTheme="minorHAnsi" w:cstheme="minorHAnsi"/>
                <w:b/>
                <w:bCs/>
                <w:i/>
                <w:iCs/>
                <w:color w:val="000000"/>
                <w:u w:val="single"/>
              </w:rPr>
              <w:t>Instructional strategies</w:t>
            </w:r>
            <w:r w:rsidRPr="00B86658">
              <w:rPr>
                <w:rFonts w:asciiTheme="minorHAnsi" w:hAnsiTheme="minorHAnsi" w:cstheme="minorHAnsi"/>
                <w:b/>
                <w:bCs/>
                <w:i/>
                <w:iCs/>
                <w:color w:val="000000"/>
              </w:rPr>
              <w:t>:</w:t>
            </w:r>
          </w:p>
          <w:p w:rsidR="00746BE6" w:rsidRPr="00B86658" w:rsidRDefault="00746BE6" w:rsidP="00746BE6">
            <w:pPr>
              <w:autoSpaceDE w:val="0"/>
              <w:autoSpaceDN w:val="0"/>
              <w:adjustRightInd w:val="0"/>
              <w:ind w:left="720"/>
              <w:rPr>
                <w:rFonts w:asciiTheme="minorHAnsi" w:hAnsiTheme="minorHAnsi" w:cstheme="minorHAnsi"/>
                <w:b/>
                <w:bCs/>
                <w:i/>
                <w:iCs/>
              </w:rPr>
            </w:pPr>
            <w:r w:rsidRPr="00B86658">
              <w:rPr>
                <w:rFonts w:asciiTheme="minorHAnsi" w:hAnsiTheme="minorHAnsi" w:cstheme="minorHAnsi"/>
                <w:b/>
                <w:bCs/>
                <w:i/>
                <w:iCs/>
                <w:color w:val="000000"/>
              </w:rPr>
              <w:t>Input -</w:t>
            </w:r>
            <w:r w:rsidRPr="00B86658">
              <w:rPr>
                <w:rFonts w:asciiTheme="minorHAnsi" w:hAnsiTheme="minorHAnsi" w:cstheme="minorHAnsi"/>
                <w:b/>
              </w:rPr>
              <w:t xml:space="preserve"> Hook (Set)</w:t>
            </w:r>
            <w:r w:rsidRPr="00B86658">
              <w:rPr>
                <w:rFonts w:asciiTheme="minorHAnsi" w:hAnsiTheme="minorHAnsi" w:cstheme="minorHAnsi"/>
              </w:rPr>
              <w:t xml:space="preserve"> </w:t>
            </w:r>
            <w:r w:rsidR="003809C5" w:rsidRPr="00B86658">
              <w:rPr>
                <w:rFonts w:asciiTheme="minorHAnsi" w:hAnsiTheme="minorHAnsi" w:cstheme="minorHAnsi"/>
              </w:rPr>
              <w:t>There is a brief video or online game to</w:t>
            </w:r>
            <w:r w:rsidR="00597485" w:rsidRPr="00B86658">
              <w:rPr>
                <w:rFonts w:asciiTheme="minorHAnsi" w:hAnsiTheme="minorHAnsi" w:cstheme="minorHAnsi"/>
              </w:rPr>
              <w:t xml:space="preserve"> reintroduce equation balancing</w:t>
            </w:r>
            <w:r w:rsidR="00523163" w:rsidRPr="00B86658">
              <w:rPr>
                <w:rFonts w:asciiTheme="minorHAnsi" w:hAnsiTheme="minorHAnsi" w:cstheme="minorHAnsi"/>
              </w:rPr>
              <w:t xml:space="preserve">. </w:t>
            </w:r>
          </w:p>
          <w:p w:rsidR="00746BE6" w:rsidRPr="00B86658" w:rsidRDefault="00746BE6" w:rsidP="00746BE6">
            <w:pPr>
              <w:autoSpaceDE w:val="0"/>
              <w:autoSpaceDN w:val="0"/>
              <w:adjustRightInd w:val="0"/>
              <w:ind w:left="720"/>
              <w:rPr>
                <w:rFonts w:asciiTheme="minorHAnsi" w:hAnsiTheme="minorHAnsi" w:cstheme="minorHAnsi"/>
                <w:b/>
                <w:bCs/>
                <w:i/>
                <w:iCs/>
                <w:color w:val="0000CC"/>
              </w:rPr>
            </w:pPr>
            <w:r w:rsidRPr="00B86658">
              <w:rPr>
                <w:rFonts w:asciiTheme="minorHAnsi" w:hAnsiTheme="minorHAnsi" w:cstheme="minorHAnsi"/>
                <w:b/>
                <w:bCs/>
                <w:iCs/>
                <w:color w:val="000000"/>
              </w:rPr>
              <w:t xml:space="preserve">Modeling and Guided Practice </w:t>
            </w:r>
            <w:r w:rsidR="00523163" w:rsidRPr="00B86658">
              <w:rPr>
                <w:rFonts w:asciiTheme="minorHAnsi" w:hAnsiTheme="minorHAnsi" w:cstheme="minorHAnsi"/>
                <w:b/>
                <w:bCs/>
                <w:i/>
                <w:iCs/>
                <w:color w:val="000000"/>
              </w:rPr>
              <w:t>–</w:t>
            </w:r>
            <w:r w:rsidR="00523163" w:rsidRPr="00B86658">
              <w:rPr>
                <w:rFonts w:asciiTheme="minorHAnsi" w:hAnsiTheme="minorHAnsi" w:cstheme="minorHAnsi"/>
                <w:bCs/>
                <w:iCs/>
              </w:rPr>
              <w:t xml:space="preserve"> The </w:t>
            </w:r>
            <w:r w:rsidR="003809C5" w:rsidRPr="00B86658">
              <w:rPr>
                <w:rFonts w:asciiTheme="minorHAnsi" w:hAnsiTheme="minorHAnsi" w:cstheme="minorHAnsi"/>
                <w:bCs/>
                <w:iCs/>
              </w:rPr>
              <w:t>online game lays out steps for students</w:t>
            </w:r>
            <w:r w:rsidR="00523163" w:rsidRPr="00B86658">
              <w:rPr>
                <w:rFonts w:asciiTheme="minorHAnsi" w:hAnsiTheme="minorHAnsi" w:cstheme="minorHAnsi"/>
                <w:bCs/>
                <w:iCs/>
              </w:rPr>
              <w:t xml:space="preserve">.  </w:t>
            </w:r>
            <w:r w:rsidRPr="00B86658">
              <w:rPr>
                <w:rFonts w:asciiTheme="minorHAnsi" w:hAnsiTheme="minorHAnsi" w:cstheme="minorHAnsi"/>
              </w:rPr>
              <w:t xml:space="preserve"> </w:t>
            </w:r>
          </w:p>
          <w:p w:rsidR="00746BE6" w:rsidRPr="00B86658" w:rsidRDefault="00746BE6" w:rsidP="00746BE6">
            <w:pPr>
              <w:autoSpaceDE w:val="0"/>
              <w:autoSpaceDN w:val="0"/>
              <w:adjustRightInd w:val="0"/>
              <w:ind w:firstLine="360"/>
              <w:rPr>
                <w:rFonts w:asciiTheme="minorHAnsi" w:hAnsiTheme="minorHAnsi" w:cstheme="minorHAnsi"/>
                <w:b/>
                <w:bCs/>
                <w:iCs/>
                <w:color w:val="000000"/>
              </w:rPr>
            </w:pPr>
            <w:r w:rsidRPr="00B86658">
              <w:rPr>
                <w:rFonts w:asciiTheme="minorHAnsi" w:hAnsiTheme="minorHAnsi" w:cstheme="minorHAnsi"/>
                <w:b/>
                <w:iCs/>
                <w:color w:val="000000"/>
              </w:rPr>
              <w:tab/>
            </w:r>
            <w:r w:rsidRPr="00B86658">
              <w:rPr>
                <w:rFonts w:asciiTheme="minorHAnsi" w:hAnsiTheme="minorHAnsi" w:cstheme="minorHAnsi"/>
                <w:b/>
                <w:bCs/>
                <w:iCs/>
                <w:color w:val="000000"/>
              </w:rPr>
              <w:t xml:space="preserve">Check for Understanding (CFU) – </w:t>
            </w:r>
          </w:p>
          <w:p w:rsidR="00746BE6" w:rsidRPr="00B86658" w:rsidRDefault="00746BE6" w:rsidP="00746BE6">
            <w:pPr>
              <w:ind w:left="1440"/>
              <w:rPr>
                <w:rFonts w:asciiTheme="minorHAnsi" w:hAnsiTheme="minorHAnsi" w:cstheme="minorHAnsi"/>
                <w:color w:val="0000CC"/>
              </w:rPr>
            </w:pPr>
            <w:r w:rsidRPr="00B86658">
              <w:rPr>
                <w:rFonts w:asciiTheme="minorHAnsi" w:hAnsiTheme="minorHAnsi" w:cstheme="minorHAnsi"/>
                <w:b/>
                <w:i/>
                <w:color w:val="0000CC"/>
              </w:rPr>
              <w:t xml:space="preserve">What am I doing for students that progress at different rates? </w:t>
            </w:r>
          </w:p>
          <w:p w:rsidR="00746BE6" w:rsidRDefault="00746BE6" w:rsidP="00746BE6">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get it? </w:t>
            </w:r>
          </w:p>
          <w:p w:rsidR="00816DCC" w:rsidRDefault="00746BE6" w:rsidP="000110B3">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don’t get it? </w:t>
            </w:r>
          </w:p>
          <w:p w:rsidR="00F645DE" w:rsidRPr="00B1388F" w:rsidRDefault="00F645DE" w:rsidP="00F645DE">
            <w:pPr>
              <w:ind w:left="1440"/>
              <w:rPr>
                <w:rFonts w:asciiTheme="minorHAnsi" w:hAnsiTheme="minorHAnsi" w:cstheme="minorHAnsi"/>
                <w:b/>
                <w:color w:val="0000CC"/>
                <w:sz w:val="24"/>
                <w:szCs w:val="24"/>
              </w:rPr>
            </w:pP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473ACB" w:rsidRPr="00E43268" w:rsidRDefault="00473ACB" w:rsidP="00F645DE">
            <w:pPr>
              <w:rPr>
                <w:b/>
                <w:u w:val="single"/>
              </w:rPr>
            </w:pPr>
            <w:proofErr w:type="gramStart"/>
            <w:r w:rsidRPr="00E43268">
              <w:rPr>
                <w:b/>
                <w:u w:val="single"/>
              </w:rPr>
              <w:t>Questioning</w:t>
            </w:r>
            <w:r w:rsidRPr="00E43268">
              <w:rPr>
                <w:b/>
              </w:rPr>
              <w:t xml:space="preserve">  </w:t>
            </w:r>
            <w:r w:rsidR="00F645DE">
              <w:t>These</w:t>
            </w:r>
            <w:proofErr w:type="gramEnd"/>
            <w:r w:rsidR="00F645DE">
              <w:t xml:space="preserve"> questions will occur throughout the activity as prompts based on groups’ or individual students’ progress. </w:t>
            </w:r>
          </w:p>
          <w:p w:rsidR="00473ACB" w:rsidRDefault="00473ACB" w:rsidP="00F645DE">
            <w:pPr>
              <w:spacing w:after="0" w:line="240" w:lineRule="auto"/>
              <w:ind w:firstLine="720"/>
              <w:rPr>
                <w:b/>
              </w:rPr>
            </w:pPr>
            <w:r w:rsidRPr="00E43268">
              <w:rPr>
                <w:b/>
              </w:rPr>
              <w:t>Knowledge:</w:t>
            </w:r>
          </w:p>
          <w:p w:rsidR="002500E7" w:rsidRPr="00C55504" w:rsidRDefault="00C55504" w:rsidP="00F645DE">
            <w:pPr>
              <w:spacing w:after="0" w:line="240" w:lineRule="auto"/>
              <w:ind w:firstLine="720"/>
            </w:pPr>
            <w:r w:rsidRPr="00C55504">
              <w:t xml:space="preserve">What are the elements in your chosen compound?  </w:t>
            </w:r>
          </w:p>
          <w:p w:rsidR="00C55504" w:rsidRPr="00C55504" w:rsidRDefault="00C55504" w:rsidP="00F645DE">
            <w:pPr>
              <w:spacing w:after="0" w:line="240" w:lineRule="auto"/>
              <w:ind w:firstLine="720"/>
              <w:rPr>
                <w:rFonts w:asciiTheme="minorHAnsi" w:hAnsiTheme="minorHAnsi" w:cstheme="minorHAnsi"/>
              </w:rPr>
            </w:pPr>
            <w:r w:rsidRPr="00C55504">
              <w:rPr>
                <w:rFonts w:asciiTheme="minorHAnsi" w:hAnsiTheme="minorHAnsi" w:cstheme="minorHAnsi"/>
              </w:rPr>
              <w:t>Find these elements on the periodic table</w:t>
            </w:r>
            <w:r w:rsidR="00B0410D">
              <w:rPr>
                <w:rFonts w:asciiTheme="minorHAnsi" w:hAnsiTheme="minorHAnsi" w:cstheme="minorHAnsi"/>
              </w:rPr>
              <w:t>.</w:t>
            </w:r>
            <w:r w:rsidRPr="00C55504">
              <w:rPr>
                <w:rFonts w:asciiTheme="minorHAnsi" w:hAnsiTheme="minorHAnsi" w:cstheme="minorHAnsi"/>
              </w:rPr>
              <w:t xml:space="preserve"> </w:t>
            </w:r>
          </w:p>
          <w:p w:rsidR="00C55504" w:rsidRPr="00C55504" w:rsidRDefault="00C55504" w:rsidP="00F645DE">
            <w:pPr>
              <w:spacing w:after="0" w:line="240" w:lineRule="auto"/>
              <w:ind w:firstLine="720"/>
            </w:pPr>
            <w:r w:rsidRPr="00C55504">
              <w:rPr>
                <w:rFonts w:asciiTheme="minorHAnsi" w:eastAsia="Open Sans" w:hAnsiTheme="minorHAnsi" w:cstheme="minorHAnsi"/>
              </w:rPr>
              <w:t xml:space="preserve">What are the </w:t>
            </w:r>
            <w:r w:rsidR="0088626F">
              <w:rPr>
                <w:rFonts w:asciiTheme="minorHAnsi" w:eastAsia="Open Sans" w:hAnsiTheme="minorHAnsi" w:cstheme="minorHAnsi"/>
              </w:rPr>
              <w:t>polarities</w:t>
            </w:r>
            <w:r w:rsidRPr="00C55504">
              <w:rPr>
                <w:rFonts w:asciiTheme="minorHAnsi" w:eastAsia="Open Sans" w:hAnsiTheme="minorHAnsi" w:cstheme="minorHAnsi"/>
              </w:rPr>
              <w:t xml:space="preserve"> that we might encounter? [ </w:t>
            </w:r>
            <w:r w:rsidRPr="00C55504">
              <w:rPr>
                <w:rFonts w:asciiTheme="minorHAnsi" w:eastAsia="Open Sans" w:hAnsiTheme="minorHAnsi" w:cstheme="minorHAnsi"/>
              </w:rPr>
              <w:t xml:space="preserve">linear, bent, trigonal planar, trigonal pyramidal, </w:t>
            </w:r>
            <w:proofErr w:type="gramStart"/>
            <w:r w:rsidRPr="00C55504">
              <w:rPr>
                <w:rFonts w:asciiTheme="minorHAnsi" w:eastAsia="Open Sans" w:hAnsiTheme="minorHAnsi" w:cstheme="minorHAnsi"/>
              </w:rPr>
              <w:t>tetrahedral</w:t>
            </w:r>
            <w:r w:rsidRPr="00C55504">
              <w:rPr>
                <w:rFonts w:asciiTheme="minorHAnsi" w:eastAsia="Open Sans" w:hAnsiTheme="minorHAnsi" w:cstheme="minorHAnsi"/>
              </w:rPr>
              <w:t xml:space="preserve"> ]</w:t>
            </w:r>
            <w:proofErr w:type="gramEnd"/>
          </w:p>
          <w:p w:rsidR="00C55504" w:rsidRDefault="00C55504"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Comprehension: </w:t>
            </w:r>
          </w:p>
          <w:p w:rsidR="002500E7" w:rsidRDefault="00C55504" w:rsidP="00F645DE">
            <w:pPr>
              <w:spacing w:after="0" w:line="240" w:lineRule="auto"/>
              <w:ind w:firstLine="720"/>
            </w:pPr>
            <w:r w:rsidRPr="00C55504">
              <w:t xml:space="preserve">Which element is the central element in your compound? </w:t>
            </w:r>
          </w:p>
          <w:p w:rsidR="00C55504" w:rsidRDefault="00C55504" w:rsidP="00F645DE">
            <w:pPr>
              <w:spacing w:after="0" w:line="240" w:lineRule="auto"/>
              <w:ind w:firstLine="720"/>
            </w:pPr>
            <w:r>
              <w:t xml:space="preserve">How many atoms would we need to have a tetrahedral shape? </w:t>
            </w:r>
          </w:p>
          <w:p w:rsidR="00B0410D" w:rsidRPr="00C55504" w:rsidRDefault="00B0410D" w:rsidP="00F645DE">
            <w:pPr>
              <w:spacing w:after="0" w:line="240" w:lineRule="auto"/>
              <w:ind w:firstLine="720"/>
            </w:pPr>
            <w:r>
              <w:t xml:space="preserve">How many valence electron pairs does the central atom have? </w:t>
            </w:r>
          </w:p>
          <w:p w:rsidR="00C55504" w:rsidRDefault="00C55504" w:rsidP="00F645DE">
            <w:pPr>
              <w:spacing w:after="0" w:line="240" w:lineRule="auto"/>
              <w:ind w:firstLine="720"/>
              <w:rPr>
                <w:b/>
              </w:rPr>
            </w:pPr>
          </w:p>
          <w:p w:rsidR="00C55504" w:rsidRDefault="00C55504" w:rsidP="00F645DE">
            <w:pPr>
              <w:spacing w:after="0" w:line="240" w:lineRule="auto"/>
              <w:ind w:firstLine="720"/>
              <w:rPr>
                <w:b/>
              </w:rPr>
            </w:pPr>
          </w:p>
          <w:p w:rsidR="00473ACB" w:rsidRDefault="00473ACB" w:rsidP="00F645DE">
            <w:pPr>
              <w:spacing w:after="0" w:line="240" w:lineRule="auto"/>
              <w:ind w:firstLine="720"/>
              <w:rPr>
                <w:b/>
              </w:rPr>
            </w:pPr>
            <w:r w:rsidRPr="00E43268">
              <w:rPr>
                <w:b/>
              </w:rPr>
              <w:t>Application:</w:t>
            </w:r>
          </w:p>
          <w:p w:rsidR="0088626F" w:rsidRPr="0088626F" w:rsidRDefault="0088626F" w:rsidP="00F645DE">
            <w:pPr>
              <w:spacing w:after="0" w:line="240" w:lineRule="auto"/>
              <w:ind w:firstLine="720"/>
            </w:pPr>
            <w:r w:rsidRPr="0088626F">
              <w:t xml:space="preserve">Construct a tetrahedral molecule using pieces from your molecular model kit.  Do not worry about the elements for the moment, just show me a tetrahedral shape. </w:t>
            </w:r>
          </w:p>
          <w:p w:rsidR="008F2E74" w:rsidRDefault="008F2E74"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Analysis: </w:t>
            </w:r>
          </w:p>
          <w:p w:rsidR="005C54E5" w:rsidRDefault="005C54E5" w:rsidP="00F645DE">
            <w:pPr>
              <w:spacing w:after="0" w:line="240" w:lineRule="auto"/>
              <w:ind w:firstLine="720"/>
              <w:rPr>
                <w:b/>
              </w:rPr>
            </w:pPr>
          </w:p>
          <w:p w:rsidR="00473ACB" w:rsidRDefault="00473ACB" w:rsidP="00F645DE">
            <w:pPr>
              <w:spacing w:after="0" w:line="240" w:lineRule="auto"/>
              <w:ind w:firstLine="720"/>
              <w:rPr>
                <w:b/>
              </w:rPr>
            </w:pPr>
            <w:r w:rsidRPr="00E43268">
              <w:rPr>
                <w:b/>
              </w:rPr>
              <w:t>Synthesis:</w:t>
            </w:r>
          </w:p>
          <w:p w:rsidR="00F7774D" w:rsidRDefault="00F7774D"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Evaluation: </w:t>
            </w:r>
          </w:p>
          <w:p w:rsidR="00F645DE" w:rsidRDefault="00F645DE" w:rsidP="000110B3">
            <w:pPr>
              <w:rPr>
                <w:b/>
                <w:u w:val="single"/>
              </w:rPr>
            </w:pPr>
          </w:p>
          <w:p w:rsidR="00F7774D" w:rsidRDefault="00473ACB" w:rsidP="000110B3">
            <w:pPr>
              <w:rPr>
                <w:b/>
                <w:u w:val="single"/>
              </w:rPr>
            </w:pPr>
            <w:r w:rsidRPr="00E43268">
              <w:rPr>
                <w:b/>
                <w:u w:val="single"/>
              </w:rPr>
              <w:t>Thinking</w:t>
            </w:r>
          </w:p>
          <w:p w:rsidR="00473ACB" w:rsidRPr="000777F0" w:rsidRDefault="00473ACB" w:rsidP="000110B3">
            <w:r w:rsidRPr="00E43268">
              <w:t> </w:t>
            </w:r>
            <w:r w:rsidR="000110B3">
              <w:t xml:space="preserve">      </w:t>
            </w:r>
            <w:r w:rsidRPr="00E43268">
              <w:t xml:space="preserve">__ </w:t>
            </w:r>
            <w:r w:rsidRPr="00E43268">
              <w:rPr>
                <w:b/>
              </w:rPr>
              <w:t>Practical</w:t>
            </w:r>
            <w:r w:rsidRPr="00E43268">
              <w:t xml:space="preserve"> –</w:t>
            </w:r>
            <w:r w:rsidRPr="00E43268">
              <w:rPr>
                <w:i/>
                <w:color w:val="0000CC"/>
              </w:rPr>
              <w:t xml:space="preserve"> </w:t>
            </w:r>
            <w:r w:rsidR="00B47768">
              <w:t xml:space="preserve"> </w:t>
            </w:r>
          </w:p>
          <w:p w:rsidR="00473ACB" w:rsidRPr="00E43268" w:rsidRDefault="00473ACB" w:rsidP="00473ACB">
            <w:pPr>
              <w:ind w:firstLine="360"/>
            </w:pPr>
            <w:r w:rsidRPr="00E43268">
              <w:t xml:space="preserve">__ </w:t>
            </w:r>
            <w:r w:rsidRPr="00E43268">
              <w:rPr>
                <w:b/>
              </w:rPr>
              <w:t>Creative</w:t>
            </w:r>
            <w:r w:rsidRPr="00E43268">
              <w:t>–</w:t>
            </w:r>
            <w:r w:rsidR="00FB2B57">
              <w:t xml:space="preserve"> </w:t>
            </w:r>
          </w:p>
          <w:p w:rsidR="00473ACB" w:rsidRDefault="00473ACB" w:rsidP="00473ACB">
            <w:pPr>
              <w:ind w:firstLine="360"/>
              <w:rPr>
                <w:color w:val="0000CC"/>
              </w:rPr>
            </w:pPr>
            <w:r w:rsidRPr="00E43268">
              <w:t xml:space="preserve">__ </w:t>
            </w:r>
            <w:r w:rsidRPr="00E43268">
              <w:rPr>
                <w:b/>
              </w:rPr>
              <w:t>Analytical</w:t>
            </w:r>
            <w:r w:rsidRPr="00E43268">
              <w:t xml:space="preserve"> – </w:t>
            </w:r>
          </w:p>
          <w:p w:rsidR="00050D22" w:rsidRPr="00E43268" w:rsidRDefault="00050D22" w:rsidP="00050D22">
            <w:pPr>
              <w:rPr>
                <w:b/>
                <w:i/>
                <w:color w:val="0000CC"/>
              </w:rPr>
            </w:pPr>
            <w:r>
              <w:t xml:space="preserve">       </w:t>
            </w:r>
            <w:r w:rsidRPr="00E43268">
              <w:t xml:space="preserve">__ </w:t>
            </w:r>
            <w:r w:rsidRPr="00E43268">
              <w:rPr>
                <w:b/>
              </w:rPr>
              <w:t>Research-based</w:t>
            </w:r>
            <w:r w:rsidRPr="00E43268">
              <w:t xml:space="preserve"> – </w:t>
            </w:r>
          </w:p>
          <w:p w:rsidR="00473ACB" w:rsidRPr="00E43268" w:rsidRDefault="00473ACB" w:rsidP="00473ACB">
            <w:pPr>
              <w:ind w:firstLine="360"/>
              <w:rPr>
                <w:b/>
                <w:color w:val="0000CC"/>
              </w:rPr>
            </w:pPr>
            <w:r w:rsidRPr="00E43268">
              <w:rPr>
                <w:b/>
                <w:color w:val="0000CC"/>
              </w:rPr>
              <w:t>*What am I going to do to give S</w:t>
            </w:r>
            <w:r w:rsidR="000777F0">
              <w:rPr>
                <w:b/>
                <w:color w:val="0000CC"/>
              </w:rPr>
              <w:t>tudents an</w:t>
            </w:r>
            <w:r w:rsidRPr="00E43268">
              <w:rPr>
                <w:b/>
                <w:color w:val="0000CC"/>
              </w:rPr>
              <w:t xml:space="preserve"> opportunity to? </w:t>
            </w:r>
          </w:p>
          <w:p w:rsidR="00473ACB" w:rsidRDefault="00473ACB" w:rsidP="00473ACB">
            <w:pPr>
              <w:ind w:firstLine="720"/>
              <w:rPr>
                <w:b/>
                <w:color w:val="0000CC"/>
              </w:rPr>
            </w:pPr>
            <w:r w:rsidRPr="00E43268">
              <w:rPr>
                <w:b/>
                <w:color w:val="0000CC"/>
              </w:rPr>
              <w:t xml:space="preserve">1. Generate variety of ideas: </w:t>
            </w:r>
          </w:p>
          <w:p w:rsidR="00473ACB" w:rsidRDefault="00473ACB" w:rsidP="00473ACB">
            <w:pPr>
              <w:ind w:firstLine="720"/>
              <w:rPr>
                <w:b/>
                <w:color w:val="0000CC"/>
              </w:rPr>
            </w:pPr>
            <w:r w:rsidRPr="00E43268">
              <w:rPr>
                <w:b/>
                <w:color w:val="0000CC"/>
              </w:rPr>
              <w:t xml:space="preserve">2. Analyze problems from multiple viewpoints: </w:t>
            </w:r>
          </w:p>
          <w:p w:rsidR="00357885" w:rsidRDefault="00357885" w:rsidP="000110B3">
            <w:pPr>
              <w:rPr>
                <w:b/>
                <w:u w:val="single"/>
              </w:rPr>
            </w:pPr>
          </w:p>
          <w:p w:rsidR="00207618" w:rsidRDefault="00207618" w:rsidP="000110B3">
            <w:pPr>
              <w:rPr>
                <w:b/>
                <w:u w:val="single"/>
              </w:rPr>
            </w:pPr>
          </w:p>
          <w:p w:rsidR="000110B3" w:rsidRPr="00E43268" w:rsidRDefault="00473ACB" w:rsidP="000110B3">
            <w:pPr>
              <w:rPr>
                <w:b/>
                <w:i/>
                <w:color w:val="0000CC"/>
              </w:rPr>
            </w:pPr>
            <w:r w:rsidRPr="00E43268">
              <w:rPr>
                <w:b/>
                <w:u w:val="single"/>
              </w:rPr>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rsidR="00B0410D" w:rsidRDefault="00473ACB" w:rsidP="00473ACB">
            <w:pPr>
              <w:ind w:firstLine="720"/>
              <w:rPr>
                <w:b/>
              </w:rPr>
            </w:pPr>
            <w:r w:rsidRPr="005E2224">
              <w:rPr>
                <w:b/>
              </w:rPr>
              <w:t>_</w:t>
            </w:r>
            <w:r w:rsidR="005E2224">
              <w:rPr>
                <w:b/>
              </w:rPr>
              <w:t>x</w:t>
            </w:r>
            <w:r w:rsidRPr="005E2224">
              <w:rPr>
                <w:b/>
              </w:rPr>
              <w:t xml:space="preserve">__ </w:t>
            </w:r>
            <w:r w:rsidRPr="00E43268">
              <w:rPr>
                <w:b/>
              </w:rPr>
              <w:t xml:space="preserve">Abstraction </w:t>
            </w:r>
          </w:p>
          <w:p w:rsidR="00473ACB" w:rsidRPr="0052640D" w:rsidRDefault="00473ACB" w:rsidP="00473ACB">
            <w:pPr>
              <w:ind w:firstLine="720"/>
            </w:pPr>
            <w:r w:rsidRPr="00E43268">
              <w:rPr>
                <w:b/>
              </w:rPr>
              <w:t>_</w:t>
            </w:r>
            <w:r w:rsidR="0052640D">
              <w:rPr>
                <w:b/>
              </w:rPr>
              <w:t>x</w:t>
            </w:r>
            <w:r w:rsidRPr="00E43268">
              <w:rPr>
                <w:b/>
              </w:rPr>
              <w:t xml:space="preserve">__ Categorization </w:t>
            </w:r>
          </w:p>
          <w:p w:rsidR="00632639" w:rsidRPr="00E922DC" w:rsidRDefault="00473ACB" w:rsidP="00B0410D">
            <w:pPr>
              <w:ind w:firstLine="720"/>
            </w:pPr>
            <w:r w:rsidRPr="00E43268">
              <w:rPr>
                <w:b/>
              </w:rPr>
              <w:t>_</w:t>
            </w:r>
            <w:r w:rsidR="0052640D">
              <w:rPr>
                <w:b/>
              </w:rPr>
              <w:t>x</w:t>
            </w:r>
            <w:r w:rsidRPr="00E43268">
              <w:rPr>
                <w:b/>
              </w:rPr>
              <w:t xml:space="preserve">__ Predicting Outcomes </w:t>
            </w: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4"/>
        <w:gridCol w:w="6966"/>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207618" w:rsidP="00CB472D">
            <w:pPr>
              <w:pStyle w:val="ListParagraph"/>
              <w:numPr>
                <w:ilvl w:val="0"/>
                <w:numId w:val="12"/>
              </w:numPr>
              <w:spacing w:after="0" w:line="240" w:lineRule="auto"/>
            </w:pPr>
            <w:r>
              <w:lastRenderedPageBreak/>
              <w:t xml:space="preserve">Heterogeneous groups of two </w:t>
            </w:r>
          </w:p>
          <w:p w:rsidR="00CB472D" w:rsidRDefault="00207618" w:rsidP="00CB472D">
            <w:pPr>
              <w:pStyle w:val="ListParagraph"/>
              <w:numPr>
                <w:ilvl w:val="0"/>
                <w:numId w:val="12"/>
              </w:numPr>
              <w:spacing w:after="0" w:line="240" w:lineRule="auto"/>
            </w:pPr>
            <w:r>
              <w:t xml:space="preserve">Roles. Facilitator: collect materials and keep group on task; Communicator: may ask teacher questions if no group member can answer the question. Describes group’s design to teacher for approval; Reporter: records data for group and submits paperwork required by teacher. </w:t>
            </w:r>
          </w:p>
          <w:p w:rsidR="00CB472D" w:rsidRDefault="00207618" w:rsidP="00CB472D">
            <w:pPr>
              <w:pStyle w:val="ListParagraph"/>
              <w:numPr>
                <w:ilvl w:val="0"/>
                <w:numId w:val="12"/>
              </w:numPr>
              <w:spacing w:after="0" w:line="240" w:lineRule="auto"/>
            </w:pPr>
            <w:r>
              <w:t xml:space="preserve">Group members assign roles and acknowledge their understanding of their role during the lesson introduction. </w:t>
            </w:r>
          </w:p>
          <w:p w:rsidR="00CB472D" w:rsidRDefault="002A23C5" w:rsidP="00CB472D">
            <w:pPr>
              <w:pStyle w:val="ListParagraph"/>
              <w:numPr>
                <w:ilvl w:val="0"/>
                <w:numId w:val="12"/>
              </w:numPr>
              <w:spacing w:after="0" w:line="240" w:lineRule="auto"/>
            </w:pPr>
            <w:r>
              <w:t xml:space="preserve">Transition to groups. </w:t>
            </w:r>
            <w:r w:rsidR="00207618">
              <w:t xml:space="preserve">Students will begin class at lab tables already separated into groups. </w:t>
            </w:r>
            <w:r>
              <w:t xml:space="preserve">The teacher will signal for the whole group’s attention or return students to group work.   </w:t>
            </w:r>
          </w:p>
          <w:p w:rsidR="00CB472D" w:rsidRDefault="002A23C5" w:rsidP="00CB472D">
            <w:pPr>
              <w:pStyle w:val="ListParagraph"/>
              <w:numPr>
                <w:ilvl w:val="0"/>
                <w:numId w:val="12"/>
              </w:numPr>
              <w:spacing w:after="0" w:line="240" w:lineRule="auto"/>
            </w:pPr>
            <w:r>
              <w:t xml:space="preserve">Product.  The group will produce a completed worksheet. </w:t>
            </w:r>
          </w:p>
          <w:p w:rsidR="009735DB" w:rsidRDefault="009735DB"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w:t>
            </w:r>
            <w:proofErr w:type="spellStart"/>
            <w:r w:rsidRPr="00E43268">
              <w:rPr>
                <w:b/>
                <w:i/>
                <w:color w:val="0000CC"/>
              </w:rPr>
              <w:t>stds</w:t>
            </w:r>
            <w:proofErr w:type="spellEnd"/>
            <w:r w:rsidRPr="00E43268">
              <w:rPr>
                <w:b/>
                <w:i/>
                <w:color w:val="0000CC"/>
              </w:rPr>
              <w:t xml:space="preserve">;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2A23C5" w:rsidRDefault="004E3088" w:rsidP="00820DDF">
            <w:pPr>
              <w:spacing w:after="120" w:line="240" w:lineRule="auto"/>
              <w:ind w:left="720"/>
              <w:rPr>
                <w:b/>
              </w:rPr>
            </w:pPr>
            <w:r w:rsidRPr="00E43268">
              <w:rPr>
                <w:b/>
              </w:rPr>
              <w:t>__</w:t>
            </w:r>
            <w:r w:rsidR="00F700AE">
              <w:rPr>
                <w:b/>
              </w:rPr>
              <w:t>x_</w:t>
            </w:r>
            <w:r w:rsidRPr="00E43268">
              <w:rPr>
                <w:b/>
              </w:rPr>
              <w:t xml:space="preserve">_ Exit Ticket </w:t>
            </w:r>
            <w:r w:rsidR="00820DDF">
              <w:rPr>
                <w:rFonts w:ascii="Times New Roman" w:hAnsi="Times New Roman"/>
                <w:sz w:val="24"/>
                <w:szCs w:val="24"/>
              </w:rPr>
              <w:t>described below</w:t>
            </w:r>
          </w:p>
          <w:p w:rsidR="002A23C5" w:rsidRDefault="002A23C5" w:rsidP="00632639">
            <w:pPr>
              <w:autoSpaceDE w:val="0"/>
              <w:autoSpaceDN w:val="0"/>
              <w:adjustRightInd w:val="0"/>
              <w:spacing w:after="120" w:line="240" w:lineRule="auto"/>
              <w:rPr>
                <w:iCs/>
                <w:color w:val="000000"/>
              </w:rPr>
            </w:pP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w:t>
            </w:r>
            <w:proofErr w:type="spellStart"/>
            <w:r w:rsidRPr="00E43268">
              <w:rPr>
                <w:b/>
                <w:i/>
                <w:color w:val="0000CC"/>
              </w:rPr>
              <w:t>to day</w:t>
            </w:r>
            <w:proofErr w:type="spellEnd"/>
            <w:r w:rsidRPr="00E43268">
              <w:rPr>
                <w:b/>
                <w:i/>
                <w:color w:val="0000CC"/>
              </w:rPr>
              <w:t xml:space="preserve">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FF3881" w:rsidRDefault="00820DDF" w:rsidP="00FF3881">
            <w:pPr>
              <w:spacing w:after="0" w:line="240" w:lineRule="auto"/>
              <w:rPr>
                <w:rFonts w:ascii="Times New Roman" w:hAnsi="Times New Roman"/>
                <w:sz w:val="24"/>
                <w:szCs w:val="24"/>
              </w:rPr>
            </w:pPr>
            <w:r w:rsidRPr="00F700AE">
              <w:rPr>
                <w:rFonts w:asciiTheme="minorHAnsi" w:hAnsiTheme="minorHAnsi" w:cstheme="minorHAnsi"/>
                <w:b/>
              </w:rPr>
              <w:t>Here is your exit ticket for today</w:t>
            </w:r>
            <w:r w:rsidR="00C44CDF" w:rsidRPr="00C44CDF">
              <w:rPr>
                <w:rFonts w:asciiTheme="minorHAnsi" w:hAnsiTheme="minorHAnsi" w:cstheme="minorHAnsi"/>
              </w:rPr>
              <w:t xml:space="preserve">.    </w:t>
            </w:r>
            <w:r w:rsidR="00FF3881">
              <w:rPr>
                <w:rFonts w:ascii="Times New Roman" w:hAnsi="Times New Roman"/>
                <w:sz w:val="24"/>
                <w:szCs w:val="24"/>
              </w:rPr>
              <w:t>Determine which of the following are polar:</w:t>
            </w:r>
          </w:p>
          <w:p w:rsidR="00FF3881" w:rsidRDefault="00FF3881" w:rsidP="00FF3881">
            <w:pPr>
              <w:spacing w:after="0" w:line="240" w:lineRule="auto"/>
              <w:rPr>
                <w:rFonts w:ascii="Times New Roman" w:hAnsi="Times New Roman"/>
                <w:sz w:val="24"/>
                <w:szCs w:val="24"/>
              </w:rPr>
            </w:pPr>
            <w:r>
              <w:rPr>
                <w:rFonts w:ascii="Times New Roman" w:hAnsi="Times New Roman"/>
                <w:sz w:val="24"/>
                <w:szCs w:val="24"/>
              </w:rPr>
              <w:t>a. Carbon Tetrafluoride (CF</w:t>
            </w:r>
            <w:r w:rsidRPr="0099454B">
              <w:rPr>
                <w:rFonts w:ascii="Times New Roman" w:hAnsi="Times New Roman"/>
                <w:sz w:val="24"/>
                <w:szCs w:val="24"/>
                <w:vertAlign w:val="subscript"/>
              </w:rPr>
              <w:t>4</w:t>
            </w:r>
            <w:r>
              <w:rPr>
                <w:rFonts w:ascii="Times New Roman" w:hAnsi="Times New Roman"/>
                <w:sz w:val="24"/>
                <w:szCs w:val="24"/>
              </w:rPr>
              <w:t>)</w:t>
            </w:r>
          </w:p>
          <w:p w:rsidR="00FF3881" w:rsidRDefault="00FF3881" w:rsidP="00FF3881">
            <w:pPr>
              <w:spacing w:after="0" w:line="240" w:lineRule="auto"/>
              <w:rPr>
                <w:rFonts w:ascii="Times New Roman" w:hAnsi="Times New Roman"/>
                <w:sz w:val="24"/>
                <w:szCs w:val="24"/>
              </w:rPr>
            </w:pPr>
            <w:r>
              <w:rPr>
                <w:rFonts w:ascii="Times New Roman" w:hAnsi="Times New Roman"/>
                <w:sz w:val="24"/>
                <w:szCs w:val="24"/>
              </w:rPr>
              <w:t>b. water (H</w:t>
            </w:r>
            <w:r w:rsidRPr="0099454B">
              <w:rPr>
                <w:rFonts w:ascii="Times New Roman" w:hAnsi="Times New Roman"/>
                <w:sz w:val="24"/>
                <w:szCs w:val="24"/>
                <w:vertAlign w:val="subscript"/>
              </w:rPr>
              <w:t>2</w:t>
            </w:r>
            <w:r>
              <w:rPr>
                <w:rFonts w:ascii="Times New Roman" w:hAnsi="Times New Roman"/>
                <w:sz w:val="24"/>
                <w:szCs w:val="24"/>
              </w:rPr>
              <w:t>O)</w:t>
            </w:r>
          </w:p>
          <w:p w:rsidR="00FF3881" w:rsidRDefault="00FF3881" w:rsidP="00FF3881">
            <w:pPr>
              <w:spacing w:after="0" w:line="240" w:lineRule="auto"/>
              <w:rPr>
                <w:rFonts w:ascii="Times New Roman" w:hAnsi="Times New Roman"/>
                <w:sz w:val="24"/>
                <w:szCs w:val="24"/>
              </w:rPr>
            </w:pPr>
            <w:r>
              <w:rPr>
                <w:rFonts w:ascii="Times New Roman" w:hAnsi="Times New Roman"/>
                <w:sz w:val="24"/>
                <w:szCs w:val="24"/>
              </w:rPr>
              <w:t>c. Sulfur Dioxide (SO</w:t>
            </w:r>
            <w:r w:rsidRPr="0099454B">
              <w:rPr>
                <w:rFonts w:ascii="Times New Roman" w:hAnsi="Times New Roman"/>
                <w:sz w:val="24"/>
                <w:szCs w:val="24"/>
                <w:vertAlign w:val="subscript"/>
              </w:rPr>
              <w:t>2</w:t>
            </w:r>
            <w:r>
              <w:rPr>
                <w:rFonts w:ascii="Times New Roman" w:hAnsi="Times New Roman"/>
                <w:sz w:val="24"/>
                <w:szCs w:val="24"/>
              </w:rPr>
              <w:t>)</w:t>
            </w:r>
          </w:p>
          <w:p w:rsidR="00FF3881" w:rsidRDefault="00FF3881" w:rsidP="00FF3881">
            <w:pPr>
              <w:spacing w:after="0" w:line="240" w:lineRule="auto"/>
              <w:rPr>
                <w:rFonts w:ascii="Times New Roman" w:hAnsi="Times New Roman"/>
                <w:sz w:val="24"/>
                <w:szCs w:val="24"/>
              </w:rPr>
            </w:pPr>
            <w:r>
              <w:rPr>
                <w:rFonts w:ascii="Times New Roman" w:hAnsi="Times New Roman"/>
                <w:sz w:val="24"/>
                <w:szCs w:val="24"/>
              </w:rPr>
              <w:t>d. Phosphorus Pentachloride (PCl</w:t>
            </w:r>
            <w:r w:rsidRPr="0099454B">
              <w:rPr>
                <w:rFonts w:ascii="Times New Roman" w:hAnsi="Times New Roman"/>
                <w:sz w:val="24"/>
                <w:szCs w:val="24"/>
                <w:vertAlign w:val="subscript"/>
              </w:rPr>
              <w:t>5</w:t>
            </w:r>
            <w:r>
              <w:rPr>
                <w:rFonts w:ascii="Times New Roman" w:hAnsi="Times New Roman"/>
                <w:sz w:val="24"/>
                <w:szCs w:val="24"/>
              </w:rPr>
              <w:t>)</w:t>
            </w:r>
          </w:p>
          <w:p w:rsidR="00FF3881" w:rsidRPr="0079533A" w:rsidRDefault="00FF3881" w:rsidP="00FF3881">
            <w:pPr>
              <w:spacing w:after="0" w:line="240" w:lineRule="auto"/>
              <w:rPr>
                <w:rFonts w:ascii="Times New Roman" w:hAnsi="Times New Roman"/>
                <w:sz w:val="24"/>
                <w:szCs w:val="24"/>
              </w:rPr>
            </w:pPr>
            <w:r>
              <w:rPr>
                <w:rFonts w:ascii="Times New Roman" w:hAnsi="Times New Roman"/>
                <w:sz w:val="24"/>
                <w:szCs w:val="24"/>
              </w:rPr>
              <w:t>e. Hydrogen Sulfide (H</w:t>
            </w:r>
            <w:r w:rsidRPr="0099454B">
              <w:rPr>
                <w:rFonts w:ascii="Times New Roman" w:hAnsi="Times New Roman"/>
                <w:sz w:val="24"/>
                <w:szCs w:val="24"/>
                <w:vertAlign w:val="subscript"/>
              </w:rPr>
              <w:t>2</w:t>
            </w:r>
            <w:r>
              <w:rPr>
                <w:rFonts w:ascii="Times New Roman" w:hAnsi="Times New Roman"/>
                <w:sz w:val="24"/>
                <w:szCs w:val="24"/>
              </w:rPr>
              <w:t>S)</w:t>
            </w:r>
          </w:p>
          <w:p w:rsidR="00820DDF" w:rsidRPr="00C44CDF" w:rsidRDefault="00820DDF" w:rsidP="00FF1448">
            <w:pPr>
              <w:spacing w:after="120" w:line="240" w:lineRule="auto"/>
              <w:ind w:left="720"/>
              <w:rPr>
                <w:rFonts w:asciiTheme="minorHAnsi" w:hAnsiTheme="minorHAnsi" w:cstheme="minorHAnsi"/>
                <w:b/>
              </w:rPr>
            </w:pP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9735DB" w:rsidRDefault="00AF6E9A" w:rsidP="00476B09">
      <w:pPr>
        <w:widowControl w:val="0"/>
        <w:autoSpaceDE w:val="0"/>
        <w:autoSpaceDN w:val="0"/>
        <w:adjustRightInd w:val="0"/>
        <w:rPr>
          <w:b/>
          <w:sz w:val="32"/>
          <w:szCs w:val="32"/>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10"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476B09">
        <w:rPr>
          <w:b/>
          <w:sz w:val="32"/>
          <w:szCs w:val="32"/>
        </w:rPr>
        <w:t xml:space="preserve"> </w:t>
      </w:r>
    </w:p>
    <w:p w:rsidR="00820DDF" w:rsidRDefault="00820DDF" w:rsidP="007A63E5">
      <w:pPr>
        <w:autoSpaceDE w:val="0"/>
        <w:autoSpaceDN w:val="0"/>
        <w:adjustRightInd w:val="0"/>
        <w:spacing w:after="0" w:line="240" w:lineRule="auto"/>
        <w:jc w:val="right"/>
        <w:rPr>
          <w:b/>
          <w:bCs/>
          <w:sz w:val="20"/>
          <w:szCs w:val="20"/>
        </w:rPr>
      </w:pPr>
    </w:p>
    <w:p w:rsidR="009735DB" w:rsidRPr="00820DDF" w:rsidRDefault="009735DB" w:rsidP="00820DDF">
      <w:pPr>
        <w:rPr>
          <w:sz w:val="20"/>
          <w:szCs w:val="20"/>
        </w:rPr>
      </w:pPr>
    </w:p>
    <w:sectPr w:rsidR="009735DB" w:rsidRPr="00820DDF" w:rsidSect="002C7BE7">
      <w:headerReference w:type="default" r:id="rId11"/>
      <w:footerReference w:type="defaul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EAB" w:rsidRDefault="00197EAB" w:rsidP="00D25AB6">
      <w:pPr>
        <w:spacing w:after="0" w:line="240" w:lineRule="auto"/>
      </w:pPr>
      <w:r>
        <w:separator/>
      </w:r>
    </w:p>
  </w:endnote>
  <w:endnote w:type="continuationSeparator" w:id="0">
    <w:p w:rsidR="00197EAB" w:rsidRDefault="00197EAB"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820DDF">
      <w:t>9</w:t>
    </w:r>
    <w:r>
      <w:tab/>
    </w:r>
    <w:r>
      <w:tab/>
    </w:r>
    <w:r>
      <w:tab/>
    </w:r>
    <w:r>
      <w:rPr>
        <w:rStyle w:val="PageNumber"/>
      </w:rPr>
      <w:fldChar w:fldCharType="begin"/>
    </w:r>
    <w:r>
      <w:rPr>
        <w:rStyle w:val="PageNumber"/>
      </w:rPr>
      <w:instrText xml:space="preserve"> PAGE </w:instrText>
    </w:r>
    <w:r>
      <w:rPr>
        <w:rStyle w:val="PageNumber"/>
      </w:rPr>
      <w:fldChar w:fldCharType="separate"/>
    </w:r>
    <w:r w:rsidR="00E17016">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17016">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EAB" w:rsidRDefault="00197EAB" w:rsidP="00D25AB6">
      <w:pPr>
        <w:spacing w:after="0" w:line="240" w:lineRule="auto"/>
      </w:pPr>
      <w:r>
        <w:separator/>
      </w:r>
    </w:p>
  </w:footnote>
  <w:footnote w:type="continuationSeparator" w:id="0">
    <w:p w:rsidR="00197EAB" w:rsidRDefault="00197EAB"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sidR="002E26FF">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0"/>
  </w:num>
  <w:num w:numId="6">
    <w:abstractNumId w:val="9"/>
  </w:num>
  <w:num w:numId="7">
    <w:abstractNumId w:val="0"/>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462EA"/>
    <w:rsid w:val="00050D22"/>
    <w:rsid w:val="000522CA"/>
    <w:rsid w:val="000777F0"/>
    <w:rsid w:val="00095769"/>
    <w:rsid w:val="000A764D"/>
    <w:rsid w:val="000C44FD"/>
    <w:rsid w:val="000D24B6"/>
    <w:rsid w:val="000E7FC5"/>
    <w:rsid w:val="000F0C9E"/>
    <w:rsid w:val="000F2989"/>
    <w:rsid w:val="00121182"/>
    <w:rsid w:val="00122595"/>
    <w:rsid w:val="00151BC6"/>
    <w:rsid w:val="0017212D"/>
    <w:rsid w:val="00197EAB"/>
    <w:rsid w:val="001B211D"/>
    <w:rsid w:val="001B62C2"/>
    <w:rsid w:val="001B7D01"/>
    <w:rsid w:val="001C7B49"/>
    <w:rsid w:val="0020452A"/>
    <w:rsid w:val="00206EFC"/>
    <w:rsid w:val="00207618"/>
    <w:rsid w:val="00215C69"/>
    <w:rsid w:val="002500E7"/>
    <w:rsid w:val="00256961"/>
    <w:rsid w:val="002605CC"/>
    <w:rsid w:val="00272419"/>
    <w:rsid w:val="00276E1E"/>
    <w:rsid w:val="002827B5"/>
    <w:rsid w:val="00291F78"/>
    <w:rsid w:val="002A23C5"/>
    <w:rsid w:val="002A5E92"/>
    <w:rsid w:val="002C36EC"/>
    <w:rsid w:val="002C7BE7"/>
    <w:rsid w:val="002D2E49"/>
    <w:rsid w:val="002E26FF"/>
    <w:rsid w:val="002E5F22"/>
    <w:rsid w:val="00357885"/>
    <w:rsid w:val="003809C5"/>
    <w:rsid w:val="003869F4"/>
    <w:rsid w:val="003979E5"/>
    <w:rsid w:val="003A3CC5"/>
    <w:rsid w:val="003A778D"/>
    <w:rsid w:val="003D38C1"/>
    <w:rsid w:val="003E2496"/>
    <w:rsid w:val="003F6DC6"/>
    <w:rsid w:val="004017D3"/>
    <w:rsid w:val="004161B5"/>
    <w:rsid w:val="00425856"/>
    <w:rsid w:val="00442645"/>
    <w:rsid w:val="0046787D"/>
    <w:rsid w:val="00473ACB"/>
    <w:rsid w:val="00476B09"/>
    <w:rsid w:val="00492EAA"/>
    <w:rsid w:val="004B0FCF"/>
    <w:rsid w:val="004C1EAE"/>
    <w:rsid w:val="004E3088"/>
    <w:rsid w:val="004E6918"/>
    <w:rsid w:val="004F1E81"/>
    <w:rsid w:val="0051112B"/>
    <w:rsid w:val="00514689"/>
    <w:rsid w:val="0052237C"/>
    <w:rsid w:val="00523163"/>
    <w:rsid w:val="0052640D"/>
    <w:rsid w:val="005365E0"/>
    <w:rsid w:val="005412F9"/>
    <w:rsid w:val="005431CE"/>
    <w:rsid w:val="005477C5"/>
    <w:rsid w:val="00547F3B"/>
    <w:rsid w:val="00561224"/>
    <w:rsid w:val="00571ED4"/>
    <w:rsid w:val="00582D9F"/>
    <w:rsid w:val="00597485"/>
    <w:rsid w:val="005A70CC"/>
    <w:rsid w:val="005B32B1"/>
    <w:rsid w:val="005B7552"/>
    <w:rsid w:val="005C54E5"/>
    <w:rsid w:val="005C5C77"/>
    <w:rsid w:val="005D2091"/>
    <w:rsid w:val="005E2224"/>
    <w:rsid w:val="005F4564"/>
    <w:rsid w:val="005F7FD4"/>
    <w:rsid w:val="00603E2A"/>
    <w:rsid w:val="00632639"/>
    <w:rsid w:val="00650E18"/>
    <w:rsid w:val="00682025"/>
    <w:rsid w:val="006A292C"/>
    <w:rsid w:val="00707C2A"/>
    <w:rsid w:val="00714EF9"/>
    <w:rsid w:val="00723087"/>
    <w:rsid w:val="0072432E"/>
    <w:rsid w:val="0072580C"/>
    <w:rsid w:val="007412A5"/>
    <w:rsid w:val="00746BE6"/>
    <w:rsid w:val="00760AFF"/>
    <w:rsid w:val="00775524"/>
    <w:rsid w:val="00777032"/>
    <w:rsid w:val="007A63E5"/>
    <w:rsid w:val="007B3B91"/>
    <w:rsid w:val="007B47E3"/>
    <w:rsid w:val="007C4CE0"/>
    <w:rsid w:val="007E5A80"/>
    <w:rsid w:val="008075C8"/>
    <w:rsid w:val="00814B04"/>
    <w:rsid w:val="00816DCC"/>
    <w:rsid w:val="00820D76"/>
    <w:rsid w:val="00820DDF"/>
    <w:rsid w:val="00854840"/>
    <w:rsid w:val="0087607A"/>
    <w:rsid w:val="00876620"/>
    <w:rsid w:val="00876B4F"/>
    <w:rsid w:val="0088626F"/>
    <w:rsid w:val="00891224"/>
    <w:rsid w:val="008C1570"/>
    <w:rsid w:val="008D4DE1"/>
    <w:rsid w:val="008D66B8"/>
    <w:rsid w:val="008E1BCC"/>
    <w:rsid w:val="008F2E74"/>
    <w:rsid w:val="009004D6"/>
    <w:rsid w:val="009028B3"/>
    <w:rsid w:val="009169B7"/>
    <w:rsid w:val="009209A7"/>
    <w:rsid w:val="009333D3"/>
    <w:rsid w:val="00944C7C"/>
    <w:rsid w:val="00963F08"/>
    <w:rsid w:val="009648C4"/>
    <w:rsid w:val="009656AA"/>
    <w:rsid w:val="009735DB"/>
    <w:rsid w:val="009A3187"/>
    <w:rsid w:val="009A66DD"/>
    <w:rsid w:val="009B641B"/>
    <w:rsid w:val="009C211B"/>
    <w:rsid w:val="009D1B2B"/>
    <w:rsid w:val="009F741D"/>
    <w:rsid w:val="00A02BA9"/>
    <w:rsid w:val="00A05647"/>
    <w:rsid w:val="00A219F2"/>
    <w:rsid w:val="00A307E9"/>
    <w:rsid w:val="00A34462"/>
    <w:rsid w:val="00A45146"/>
    <w:rsid w:val="00A46289"/>
    <w:rsid w:val="00A46405"/>
    <w:rsid w:val="00A54121"/>
    <w:rsid w:val="00AA02A8"/>
    <w:rsid w:val="00AB52ED"/>
    <w:rsid w:val="00AB681A"/>
    <w:rsid w:val="00AD149F"/>
    <w:rsid w:val="00AD64A0"/>
    <w:rsid w:val="00AE074A"/>
    <w:rsid w:val="00AF5364"/>
    <w:rsid w:val="00AF6E9A"/>
    <w:rsid w:val="00B0410D"/>
    <w:rsid w:val="00B070B7"/>
    <w:rsid w:val="00B1388F"/>
    <w:rsid w:val="00B25036"/>
    <w:rsid w:val="00B30258"/>
    <w:rsid w:val="00B319F6"/>
    <w:rsid w:val="00B41C78"/>
    <w:rsid w:val="00B47768"/>
    <w:rsid w:val="00B52C46"/>
    <w:rsid w:val="00B66305"/>
    <w:rsid w:val="00B77A9F"/>
    <w:rsid w:val="00B86658"/>
    <w:rsid w:val="00B93210"/>
    <w:rsid w:val="00B94AAA"/>
    <w:rsid w:val="00B97B88"/>
    <w:rsid w:val="00BA4FC9"/>
    <w:rsid w:val="00BC0308"/>
    <w:rsid w:val="00C00B68"/>
    <w:rsid w:val="00C05406"/>
    <w:rsid w:val="00C0778E"/>
    <w:rsid w:val="00C1726F"/>
    <w:rsid w:val="00C24AC5"/>
    <w:rsid w:val="00C44CDF"/>
    <w:rsid w:val="00C527AF"/>
    <w:rsid w:val="00C53219"/>
    <w:rsid w:val="00C55504"/>
    <w:rsid w:val="00C65F44"/>
    <w:rsid w:val="00C667B8"/>
    <w:rsid w:val="00C67C23"/>
    <w:rsid w:val="00C70299"/>
    <w:rsid w:val="00C76457"/>
    <w:rsid w:val="00CB472D"/>
    <w:rsid w:val="00CC3C05"/>
    <w:rsid w:val="00CE12CB"/>
    <w:rsid w:val="00CE2539"/>
    <w:rsid w:val="00CE7238"/>
    <w:rsid w:val="00D056AD"/>
    <w:rsid w:val="00D25AB6"/>
    <w:rsid w:val="00D5036D"/>
    <w:rsid w:val="00D65B85"/>
    <w:rsid w:val="00D673C6"/>
    <w:rsid w:val="00D67CDD"/>
    <w:rsid w:val="00D83922"/>
    <w:rsid w:val="00D853FB"/>
    <w:rsid w:val="00D865A0"/>
    <w:rsid w:val="00D90815"/>
    <w:rsid w:val="00DA3360"/>
    <w:rsid w:val="00DA4942"/>
    <w:rsid w:val="00DB16FC"/>
    <w:rsid w:val="00DE01A9"/>
    <w:rsid w:val="00DF48EF"/>
    <w:rsid w:val="00E14DA7"/>
    <w:rsid w:val="00E17016"/>
    <w:rsid w:val="00E1714B"/>
    <w:rsid w:val="00E806DA"/>
    <w:rsid w:val="00E922DC"/>
    <w:rsid w:val="00E97AA9"/>
    <w:rsid w:val="00EB0AF0"/>
    <w:rsid w:val="00EB6280"/>
    <w:rsid w:val="00ED185D"/>
    <w:rsid w:val="00EE79AD"/>
    <w:rsid w:val="00EF7C54"/>
    <w:rsid w:val="00EF7E9F"/>
    <w:rsid w:val="00F01EFE"/>
    <w:rsid w:val="00F11E07"/>
    <w:rsid w:val="00F2227F"/>
    <w:rsid w:val="00F243BF"/>
    <w:rsid w:val="00F56401"/>
    <w:rsid w:val="00F645DE"/>
    <w:rsid w:val="00F67650"/>
    <w:rsid w:val="00F700AE"/>
    <w:rsid w:val="00F7774D"/>
    <w:rsid w:val="00F8025A"/>
    <w:rsid w:val="00F92B9D"/>
    <w:rsid w:val="00FA7A3F"/>
    <w:rsid w:val="00FB14EB"/>
    <w:rsid w:val="00FB2B57"/>
    <w:rsid w:val="00FC0728"/>
    <w:rsid w:val="00FC1DA3"/>
    <w:rsid w:val="00FD4AEF"/>
    <w:rsid w:val="00FD4C19"/>
    <w:rsid w:val="00FD55A0"/>
    <w:rsid w:val="00FE00E8"/>
    <w:rsid w:val="00FE1F8B"/>
    <w:rsid w:val="00FF1448"/>
    <w:rsid w:val="00FF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2DDBC3"/>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2E26FF"/>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85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do6FtSU_k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time_continue=5&amp;v=nxebQZUVvT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sa/4.0/" TargetMode="External"/><Relationship Id="rId4" Type="http://schemas.openxmlformats.org/officeDocument/2006/relationships/webSettings" Target="webSettings.xml"/><Relationship Id="rId9" Type="http://schemas.openxmlformats.org/officeDocument/2006/relationships/hyperlink" Target="https://www.youtube.com/watch?time_continue=2&amp;v=Qcy-TjJ10x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TotalTime>
  <Pages>7</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Steve Elliott</cp:lastModifiedBy>
  <cp:revision>56</cp:revision>
  <cp:lastPrinted>2011-09-09T19:54:00Z</cp:lastPrinted>
  <dcterms:created xsi:type="dcterms:W3CDTF">2019-04-17T18:33:00Z</dcterms:created>
  <dcterms:modified xsi:type="dcterms:W3CDTF">2019-06-07T03:09:00Z</dcterms:modified>
</cp:coreProperties>
</file>